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730885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748030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57150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920" w:right="2000" w:hanging="3899"/>
        <w:spacing w:after="0" w:line="293" w:lineRule="auto"/>
        <w:tabs>
          <w:tab w:leader="none" w:pos="473"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OR</w:t>
      </w:r>
    </w:p>
    <w:p>
      <w:pPr>
        <w:spacing w:after="0" w:line="87" w:lineRule="exact"/>
        <w:rPr>
          <w:sz w:val="24"/>
          <w:szCs w:val="24"/>
          <w:color w:val="auto"/>
        </w:rPr>
      </w:pPr>
    </w:p>
    <w:p>
      <w:pPr>
        <w:ind w:left="480" w:hanging="459"/>
        <w:spacing w:after="0"/>
        <w:tabs>
          <w:tab w:leader="none" w:pos="48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2"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1877060</wp:posOffset>
            </wp:positionH>
            <wp:positionV relativeFrom="paragraph">
              <wp:posOffset>-20320</wp:posOffset>
            </wp:positionV>
            <wp:extent cx="598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805" cy="8255"/>
                    </a:xfrm>
                    <a:prstGeom prst="rect">
                      <a:avLst/>
                    </a:prstGeom>
                    <a:noFill/>
                  </pic:spPr>
                </pic:pic>
              </a:graphicData>
            </a:graphic>
          </wp:anchor>
        </w:drawing>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APELLIS PHARMACEUTICALS, INC.</w:t>
      </w:r>
    </w:p>
    <w:p>
      <w:pPr>
        <w:spacing w:after="0" w:line="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tbl>
      <w:tblPr>
        <w:tblLayout w:type="fixed"/>
        <w:tblInd w:w="420" w:type="dxa"/>
        <w:tblCellMar>
          <w:top w:w="0" w:type="dxa"/>
          <w:left w:w="0" w:type="dxa"/>
          <w:bottom w:w="0" w:type="dxa"/>
          <w:right w:w="0" w:type="dxa"/>
        </w:tblCellMar>
      </w:tblPr>
      <w:tr>
        <w:trPr>
          <w:trHeight w:val="238"/>
        </w:trPr>
        <w:tc>
          <w:tcPr>
            <w:tcW w:w="408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4"/>
              </w:rPr>
              <w:t>DELAWARE</w:t>
            </w:r>
          </w:p>
        </w:tc>
        <w:tc>
          <w:tcPr>
            <w:tcW w:w="2240" w:type="dxa"/>
            <w:vAlign w:val="bottom"/>
          </w:tcPr>
          <w:p>
            <w:pPr>
              <w:spacing w:after="0"/>
              <w:rPr>
                <w:sz w:val="20"/>
                <w:szCs w:val="20"/>
                <w:color w:val="auto"/>
              </w:rPr>
            </w:pPr>
          </w:p>
        </w:tc>
        <w:tc>
          <w:tcPr>
            <w:tcW w:w="3740" w:type="dxa"/>
            <w:vAlign w:val="bottom"/>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2"/>
        </w:trPr>
        <w:tc>
          <w:tcPr>
            <w:tcW w:w="4080" w:type="dxa"/>
            <w:vAlign w:val="bottom"/>
          </w:tcPr>
          <w:p>
            <w:pPr>
              <w:jc w:val="center"/>
              <w:ind w:left="6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2240" w:type="dxa"/>
            <w:vAlign w:val="bottom"/>
          </w:tcPr>
          <w:p>
            <w:pPr>
              <w:spacing w:after="0"/>
              <w:rPr>
                <w:sz w:val="12"/>
                <w:szCs w:val="12"/>
                <w:color w:val="auto"/>
              </w:rPr>
            </w:pPr>
          </w:p>
        </w:tc>
        <w:tc>
          <w:tcPr>
            <w:tcW w:w="3740" w:type="dxa"/>
            <w:vAlign w:val="bottom"/>
          </w:tcPr>
          <w:p>
            <w:pPr>
              <w:jc w:val="center"/>
              <w:ind w:right="284"/>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080" w:type="dxa"/>
            <w:vAlign w:val="bottom"/>
          </w:tcPr>
          <w:p>
            <w:pPr>
              <w:jc w:val="center"/>
              <w:ind w:left="64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240" w:type="dxa"/>
            <w:vAlign w:val="bottom"/>
          </w:tcPr>
          <w:p>
            <w:pPr>
              <w:spacing w:after="0"/>
              <w:rPr>
                <w:sz w:val="14"/>
                <w:szCs w:val="14"/>
                <w:color w:val="auto"/>
              </w:rPr>
            </w:pPr>
          </w:p>
        </w:tc>
        <w:tc>
          <w:tcPr>
            <w:tcW w:w="3740" w:type="dxa"/>
            <w:vAlign w:val="bottom"/>
          </w:tcPr>
          <w:p>
            <w:pPr>
              <w:jc w:val="center"/>
              <w:ind w:right="28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04"/>
        </w:trPr>
        <w:tc>
          <w:tcPr>
            <w:tcW w:w="408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8"/>
        </w:trPr>
        <w:tc>
          <w:tcPr>
            <w:tcW w:w="408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7"/>
              </w:rPr>
              <w:t>Waltham, MA</w:t>
            </w:r>
          </w:p>
        </w:tc>
        <w:tc>
          <w:tcPr>
            <w:tcW w:w="2240" w:type="dxa"/>
            <w:vAlign w:val="bottom"/>
          </w:tcPr>
          <w:p>
            <w:pPr>
              <w:spacing w:after="0"/>
              <w:rPr>
                <w:sz w:val="20"/>
                <w:szCs w:val="20"/>
                <w:color w:val="auto"/>
              </w:rPr>
            </w:pPr>
          </w:p>
        </w:tc>
        <w:tc>
          <w:tcPr>
            <w:tcW w:w="3740" w:type="dxa"/>
            <w:vAlign w:val="bottom"/>
          </w:tcPr>
          <w:p>
            <w:pPr>
              <w:jc w:val="right"/>
              <w:ind w:right="1744"/>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73"/>
        </w:trPr>
        <w:tc>
          <w:tcPr>
            <w:tcW w:w="4080" w:type="dxa"/>
            <w:vAlign w:val="bottom"/>
          </w:tcPr>
          <w:p>
            <w:pPr>
              <w:jc w:val="center"/>
              <w:ind w:left="64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240" w:type="dxa"/>
            <w:vAlign w:val="bottom"/>
          </w:tcPr>
          <w:p>
            <w:pPr>
              <w:spacing w:after="0"/>
              <w:rPr>
                <w:sz w:val="15"/>
                <w:szCs w:val="15"/>
                <w:color w:val="auto"/>
              </w:rPr>
            </w:pPr>
          </w:p>
        </w:tc>
        <w:tc>
          <w:tcPr>
            <w:tcW w:w="3740" w:type="dxa"/>
            <w:vAlign w:val="bottom"/>
          </w:tcPr>
          <w:p>
            <w:pPr>
              <w:jc w:val="center"/>
              <w:ind w:right="28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86"/>
        </w:trPr>
        <w:tc>
          <w:tcPr>
            <w:tcW w:w="10060" w:type="dxa"/>
            <w:vAlign w:val="bottom"/>
            <w:gridSpan w:val="3"/>
          </w:tcPr>
          <w:p>
            <w:pPr>
              <w:jc w:val="center"/>
              <w:ind w:left="26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(617) 977-5700</w:t>
            </w:r>
          </w:p>
        </w:tc>
      </w:tr>
      <w:tr>
        <w:trPr>
          <w:trHeight w:val="54"/>
        </w:trPr>
        <w:tc>
          <w:tcPr>
            <w:tcW w:w="408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740" w:type="dxa"/>
            <w:vAlign w:val="bottom"/>
          </w:tcPr>
          <w:p>
            <w:pPr>
              <w:spacing w:after="0"/>
              <w:rPr>
                <w:sz w:val="4"/>
                <w:szCs w:val="4"/>
                <w:color w:val="auto"/>
              </w:rPr>
            </w:pPr>
          </w:p>
        </w:tc>
      </w:tr>
      <w:tr>
        <w:trPr>
          <w:trHeight w:val="263"/>
        </w:trPr>
        <w:tc>
          <w:tcPr>
            <w:tcW w:w="10060" w:type="dxa"/>
            <w:vAlign w:val="bottom"/>
            <w:gridSpan w:val="3"/>
          </w:tcPr>
          <w:p>
            <w:pPr>
              <w:jc w:val="center"/>
              <w:ind w:left="2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34"/>
        </w:trPr>
        <w:tc>
          <w:tcPr>
            <w:tcW w:w="4080" w:type="dxa"/>
            <w:vAlign w:val="bottom"/>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8"/>
        </w:trPr>
        <w:tc>
          <w:tcPr>
            <w:tcW w:w="408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APLS</w:t>
            </w:r>
          </w:p>
        </w:tc>
        <w:tc>
          <w:tcPr>
            <w:tcW w:w="3740" w:type="dxa"/>
            <w:vAlign w:val="bottom"/>
          </w:tcPr>
          <w:p>
            <w:pPr>
              <w:jc w:val="center"/>
              <w:ind w:left="964"/>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0" w:lineRule="exact"/>
        <w:rPr>
          <w:sz w:val="24"/>
          <w:szCs w:val="24"/>
          <w:color w:val="auto"/>
        </w:rPr>
      </w:pPr>
    </w:p>
    <w:p>
      <w:pPr>
        <w:ind w:right="1720"/>
        <w:spacing w:after="0" w:line="286"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8"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8" w:lineRule="exact"/>
        <w:rPr>
          <w:sz w:val="24"/>
          <w:szCs w:val="24"/>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48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48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Small reporting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1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8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96" w:lineRule="exact"/>
        <w:rPr>
          <w:sz w:val="24"/>
          <w:szCs w:val="24"/>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8" w:lineRule="exact"/>
        <w:rPr>
          <w:sz w:val="24"/>
          <w:szCs w:val="24"/>
          <w:color w:val="auto"/>
        </w:rPr>
      </w:pPr>
    </w:p>
    <w:p>
      <w:pPr>
        <w:ind w:right="3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spacing w:after="0" w:line="242"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June 30, 2023, the aggregate market value of the voting and non-voting common equity held by non-affiliates of the registrant, based on the closing price of the shares of common stock on the Nasdaq Global Select Stock Market on such date, was $10.7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$0.0001 per share outstanding as of February 20, 2024 was 120,581,749.</w:t>
      </w: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registrant intends to file a definitive proxy statement pursuant to Regulation 14A in connection with its 2024 Annual Meeting of Stockholders within 120 days of the end of the registrant’s fiscal year ended December 31, 2023. Portions of such proxy statement are incorporated by reference into Part III of this Annual Report on Form 10-K</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8"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3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5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62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9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EE"/>
            </w:tcBorders>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9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06" w:lineRule="exact"/>
        <w:rPr>
          <w:sz w:val="20"/>
          <w:szCs w:val="20"/>
          <w:color w:val="auto"/>
        </w:rPr>
      </w:pPr>
    </w:p>
    <w:p>
      <w:pPr>
        <w:ind w:right="280" w:firstLine="509"/>
        <w:spacing w:after="0" w:line="276" w:lineRule="auto"/>
        <w:rPr>
          <w:sz w:val="20"/>
          <w:szCs w:val="20"/>
          <w:color w:val="auto"/>
        </w:rPr>
      </w:pPr>
      <w:r>
        <w:rPr>
          <w:rFonts w:ascii="Times New Roman" w:cs="Times New Roman" w:eastAsia="Times New Roman" w:hAnsi="Times New Roman"/>
          <w:sz w:val="17"/>
          <w:szCs w:val="17"/>
          <w:color w:val="auto"/>
        </w:rPr>
        <w:t>This Annual Report contains forward-looking statements that involve substantial risks and uncertainties. All statements, other than statements of historical facts, contained in this Annual Report,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17"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6"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of the anticipated results from these trials;</w:t>
      </w:r>
    </w:p>
    <w:p>
      <w:pPr>
        <w:spacing w:after="0" w:line="69"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EMPAVELI, SYFOVRE and any future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rate of incidence of retinal vasculitis following SYFOVRE treatment;</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 the timing of future cash needs, capital requirements and our ability to obtain additional funding if needed;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current and future product candidates for any additional indications;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including whether our plans to seek re-examination of our marketing authorization application for SYFOVRE in the European Union will be successful;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clinical benefits and attributes of our current and future product candidates we may develop and the inhibition of C3;</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current or future collaboration, including our collaborations with Sobi and Beam Therapeutics, Inc.;</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w:t>
      </w:r>
    </w:p>
    <w:p>
      <w:pPr>
        <w:spacing w:after="0" w:line="116" w:lineRule="exact"/>
        <w:rPr>
          <w:rFonts w:ascii="Times New Roman" w:cs="Times New Roman" w:eastAsia="Times New Roman" w:hAnsi="Times New Roman"/>
          <w:sz w:val="18"/>
          <w:szCs w:val="18"/>
          <w:color w:val="auto"/>
        </w:rPr>
      </w:pPr>
    </w:p>
    <w:p>
      <w:pPr>
        <w:ind w:left="1020" w:right="8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restructuring announced in August 2023 and our estimates regarding the anticipated cost savings and operational efficiencies;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6"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or incorporated by reference as exhibits to this Annual Report on Form 10-K completely and with the understanding that our actual future results may be materially</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different from what we expect. We do not assume any obligation to update any forward-looking statements, whether as a result of new information, future events or otherwise, except as required by applicable law.</w:t>
      </w:r>
    </w:p>
    <w:p>
      <w:pPr>
        <w:spacing w:after="0" w:line="163"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This Annual Report on Form 10-K includes statistical and other industry and market data that we obtained from industry publications and research, surveys and studies conducted by third parties. All of the market data used in this Annual Report on Form 10-K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 The Apellis, EMPAVELI, SYFOVRE and Apellis Assist names and logos are our trademarks, trade names and service marks. The other trademarks, trade names and service marks appearing in this Annual Report on Form 10-K are the property of their respective owners.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Annual Report on Form 10-K</w:t>
      </w:r>
    </w:p>
    <w:p>
      <w:pPr>
        <w:spacing w:after="0" w:line="202"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2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Annual Report on Form 10-K to “EMPAVELI (pegcetacoplan)” and “EMPAVELI” refer to pegcetacoplan in the context of the commercially available product in the United States for the treatment of adults with paroxysmal nocturnal hemoglobinuria, or PNH, and references to Aspaveli refer to systemic pegcetacoplan in the context of the commercially available product in the European Union for the treatment of adults with PNH who are anemic after treatment with a C5 inhibitor for at least three months in each case, as more fully described herein. Unless otherwise stated or the context indicates otherwise, all references in this Annual Report on Form 10-K to “SYFOVRE (pegcetacoplan injection)” and “SYFOVRE” refer to intravitreal pegcetacoplan in the context of the commercially available product for which we received approval from the U.S. Food and Drug Administration in February 2023 for the treatment of geographic atrophy secondary to age-related macular degeneration.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Annual Report on Form 10-K are the property of their respective owners.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6"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69" w:lineRule="exact"/>
        <w:rPr>
          <w:sz w:val="20"/>
          <w:szCs w:val="20"/>
          <w:color w:val="auto"/>
        </w:rPr>
      </w:pPr>
    </w:p>
    <w:p>
      <w:pPr>
        <w:ind w:left="1020" w:right="6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we may never achieve or maintain profitability. Our net losses were $528.6 million, $652.2 million, and $746.4 million for the years ended December 31, 2023, 2022 and 2021, respectively. We have obtained marketing approval for EMPAVELI for the treatment of paroxysmal nocturnal hemoglobinuria, or PNH, in multiple jurisdictions and SYFOVRE for the treatment of geographic atrophy secondary to age-related macular degeneration, or GA, in the United States.</w:t>
      </w:r>
    </w:p>
    <w:p>
      <w:pPr>
        <w:spacing w:after="0" w:line="73"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depend upon the commercial success of SYFOVRE and EMPAVELI. If we are unable to successfully commercialize SYFOVRE and EMPAVELI or develop and obtain marketing approval for or successfully commercialize pegcetacoplan in other indications, either alone or through a collaboration, or if we experience significant delays in doing so, our business could be harmed. SYFOVRE is currently only approved in the United States. We cannot be certain that we will be able to obtain regulatory approval for, and successfully commercialize, SYFOVRE in additional jurisdictions.</w:t>
      </w:r>
    </w:p>
    <w:p>
      <w:pPr>
        <w:spacing w:after="0" w:line="7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others may later discover that EMPAVELI or SYFOVRE is less effective than previously believed or causes safety issues that were not previously identified, which could compromise our ability, or that of our collaborators, to market the product. For example, a small number of patients treated with SYFOVRE in the real world have experienced retinal vasculitis, a severe form of intraocular inflammation. A change in the perception of the benefit/risk profile of SYFOVRE may reduce market acceptance of the product and our product revenues may be adversely affected.</w:t>
      </w:r>
    </w:p>
    <w:p>
      <w:pPr>
        <w:spacing w:after="0" w:line="74"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and operating losses for at least this year. If our cash and cash equivalents, cash generated from the unwind of the capped call transactions, and cash generated from sales of EMPAVELI and SYFOVRE are not sufficient to fund our projected operating plans and capital expenditure requirements, we will need to obtain additional funding. If we are unable to raise capital when needed, we could be forced to delay, reduce or eliminate product development programs or delay or reduce our commercialization efforts.</w:t>
      </w:r>
    </w:p>
    <w:p>
      <w:pPr>
        <w:spacing w:after="0" w:line="74" w:lineRule="exact"/>
        <w:rPr>
          <w:rFonts w:ascii="Times New Roman" w:cs="Times New Roman" w:eastAsia="Times New Roman" w:hAnsi="Times New Roman"/>
          <w:sz w:val="18"/>
          <w:szCs w:val="18"/>
          <w:color w:val="auto"/>
        </w:rPr>
      </w:pPr>
    </w:p>
    <w:p>
      <w:pPr>
        <w:ind w:left="1020" w:right="4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make substantial payments to SFJ Pharmaceuticals Group, or SFJ, pursuant to our development funding agreement as a result of receiving regulatory approval of EMPAVELI and Aspaveli in the United States and the European Union. If we do not have sufficient funding or cash flow from our business to meet our payment obligations under the development funding agreement, SFJ could exercise its remedies as a holder of a first priority security interest in our assets and our business could be materially harmed.</w:t>
      </w:r>
    </w:p>
    <w:p>
      <w:pPr>
        <w:spacing w:after="0" w:line="73"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expensive, time consuming and uncertain and may prevent us or our collaborators such as Sobi from obtaining marketing approvals for systemic pegcetacoplan in indications other than PNH, intravitreal pegcetacoplan for indications other than GA or in jurisdictions other than the United States, or any other product candidate that we develop in any jurisdiction. For example, in January 2024, the Committee for Medicinal Products for Human Use, or CHMP, of the European Medicines Agency adopted a negative opinion on the marketing authorization application, or MAA, for SYFOVRE in the European Union. While we are seeking re-examination of the MAA, we cannot be certain that such re-examination will be successful, and we may be required to conduct additional clinical trials of SYFOVRE. As a result, we cannot predict when or if, and in which jurisdictions, we, or our collaborators, will obtain marketing approval for systemic pegcetacoplan in other indications, for intravitreal pegcetacoplan for GA in other jurisdictions or for any other product candidate that we develop in any jurisdiction.</w:t>
      </w:r>
    </w:p>
    <w:p>
      <w:pPr>
        <w:spacing w:after="0" w:line="78" w:lineRule="exact"/>
        <w:rPr>
          <w:rFonts w:ascii="Times New Roman" w:cs="Times New Roman" w:eastAsia="Times New Roman" w:hAnsi="Times New Roman"/>
          <w:sz w:val="18"/>
          <w:szCs w:val="18"/>
          <w:color w:val="auto"/>
        </w:rPr>
      </w:pPr>
    </w:p>
    <w:p>
      <w:pPr>
        <w:jc w:val="both"/>
        <w:ind w:left="1020" w:right="80" w:hanging="503"/>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systemic pegcetacoplan, intravitreal pegcetacoplan or our other product candidates fail to satisfactorily demonstrate safety and efficacy to the FDA, the European Medicines Agency, or EMA, and other regulators, we may incur additional costs or experience delays in completing, or ultimately be unable to complete, the development and commercialization of these product candidates.</w:t>
      </w:r>
    </w:p>
    <w:p>
      <w:pPr>
        <w:spacing w:after="0" w:line="69"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PNH who were previously untreated may not start treatment with EMPAVELI or patients who are being treated for PNH with eculizumab or ravulizumab, which are the current standard of care for PNH, may not switch to treatment with EMPAVELI. Patients with GA may not begin treatment with SYFOVRE as rapidly or as broadly as we expect, and EMPAVELI, SYFOVRE, or any other products that we develop may fail to achieve the degree of market acceptance by physicians, patients, third-party payors, and others in the medical community necessary for commercial success, in which case we may not generate significant revenues or become profitable.</w:t>
      </w:r>
    </w:p>
    <w:p>
      <w:pPr>
        <w:spacing w:after="0" w:line="7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 In GA, we face substantial competition from avacincaptad pegol, which the FDA approved for the treatment of GA in August 2023. In PNH, we face substantial competition from eculizumab or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spacing w:after="0" w:line="281" w:lineRule="auto"/>
        <w:rPr>
          <w:sz w:val="20"/>
          <w:szCs w:val="20"/>
          <w:color w:val="auto"/>
        </w:rPr>
      </w:pPr>
      <w:r>
        <w:rPr>
          <w:rFonts w:ascii="Times New Roman" w:cs="Times New Roman" w:eastAsia="Times New Roman" w:hAnsi="Times New Roman"/>
          <w:sz w:val="18"/>
          <w:szCs w:val="18"/>
          <w:color w:val="auto"/>
        </w:rPr>
        <w:t>ravulizumab and additional competition from new products, including iptacopan, an orally administered product which the FDA approved for the treatment of PNH in December 2023.</w:t>
      </w:r>
    </w:p>
    <w:p>
      <w:pPr>
        <w:spacing w:after="0" w:line="55" w:lineRule="exact"/>
        <w:rPr>
          <w:sz w:val="20"/>
          <w:szCs w:val="20"/>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storage and distribution of commercial and clinical supply of EMPAVELI and SYFOVRE and clinical supply for our product candidates and expect to continue to do so in connection with our development and commercialization efforts. This reliance on third parties increases the risk that we will not have sufficient quantities of EMPAVELI, SYFOVRE, or our product candidates or that such quantities may be acquired at an acceptable cost, which could delay, prevent or impair our development or commercialization efforts. If these third parties do not perform satisfactorily, our development or commercialization efforts could be delayed or impaired.</w:t>
      </w:r>
    </w:p>
    <w:p>
      <w:pPr>
        <w:spacing w:after="0" w:line="77" w:lineRule="exact"/>
        <w:rPr>
          <w:rFonts w:ascii="Times New Roman" w:cs="Times New Roman" w:eastAsia="Times New Roman" w:hAnsi="Times New Roman"/>
          <w:sz w:val="18"/>
          <w:szCs w:val="18"/>
          <w:color w:val="auto"/>
        </w:rPr>
      </w:pPr>
    </w:p>
    <w:p>
      <w:pPr>
        <w:ind w:left="1020" w:right="16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the development and commercialization of systemic pegcetacoplan outside of the United States will depend in part on the success of our collaboration with Sobi.</w:t>
      </w:r>
    </w:p>
    <w:p>
      <w:pPr>
        <w:spacing w:after="0" w:line="54" w:lineRule="exact"/>
        <w:rPr>
          <w:rFonts w:ascii="Times New Roman" w:cs="Times New Roman" w:eastAsia="Times New Roman" w:hAnsi="Times New Roman"/>
          <w:sz w:val="18"/>
          <w:szCs w:val="18"/>
          <w:color w:val="auto"/>
        </w:rPr>
      </w:pPr>
    </w:p>
    <w:p>
      <w:pPr>
        <w:ind w:left="1020" w:right="20" w:hanging="503"/>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we could lose license rights that are important to our business, including our patent license agreements with the University of Pennsylvania under which we license patents with claim that recite a class of compounds generically covering pegcetacoplan, and that specifically recite the active component.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diseases with high unmet need and that are driven by excessive complement activation.</w:t>
      </w:r>
    </w:p>
    <w:p>
      <w:pPr>
        <w:spacing w:after="0" w:line="155"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In February 2023, the U.S. Food and Drug Administration, or the FDA, approved SYFOVRE (pegcetacoplan injection), the first approved treatment for geographic atrophy secondary to age-related macular degeneration, or GA. We believe SYFOVRE has the potential to be a best-in-class treatment for patients with GA, a disease that affects more than one million people in the United States and five million people worldwide. We launched SYFOVRE in the United States in March 2023. For the year ended December 31, 2023, we generated $275.2 million in U.S. net product revenue from sales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SYFOVRE.</w:t>
      </w:r>
    </w:p>
    <w:p>
      <w:pPr>
        <w:spacing w:after="0" w:line="16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December 2022,we also submitted a marketing authorization application, or MAA, to the European Medicines Agency, or EMA, for intravitreal pegcetacoplan for the treatment of GA. The EMA subsequently provided MAA validation and the application is under review. In January 2024, the Committee for Medicinal Products for Human Use, or CHMP, adopted a negative opinion on the marketing authorization application, or MAA, for intravitreal pegcetacoplan. We are initiating the re-examination of the application. Marketing applications submitted to regulatory authorities in Canada, Australia, the United Kingdom, and Switzerland for the treatment of GA are currently under review. We have exclusive, worldwide commercialization rights for intravitreal pegcetacoplan.</w:t>
      </w:r>
    </w:p>
    <w:p>
      <w:pPr>
        <w:spacing w:after="0" w:line="145"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In November 2023, we disclosed data from GALE, our long-term extension trial of SYFOVRE, which demonstrated increasing treatment effects over 36 months in patients with GA. The safety profile of SYFOVRE in the GALE trial at 36 months was consistent with previously reported Phase 3 data.</w:t>
      </w:r>
    </w:p>
    <w:p>
      <w:pPr>
        <w:spacing w:after="0" w:line="11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we d</w:t>
      </w:r>
      <w:r>
        <w:rPr>
          <w:rFonts w:ascii="Times New Roman" w:cs="Times New Roman" w:eastAsia="Times New Roman" w:hAnsi="Times New Roman"/>
          <w:sz w:val="18"/>
          <w:szCs w:val="18"/>
          <w:color w:val="212121"/>
        </w:rPr>
        <w:t xml:space="preserve">isclosed that we had received reports of a small number of events of retinal vasculitis following SYFOVRE treatment. As of mid-February 2024, and following the distribution of more than 200,000 doses (commercial and sample) of SYFOVRE, </w:t>
      </w:r>
      <w:r>
        <w:rPr>
          <w:rFonts w:ascii="Times New Roman" w:cs="Times New Roman" w:eastAsia="Times New Roman" w:hAnsi="Times New Roman"/>
          <w:sz w:val="18"/>
          <w:szCs w:val="18"/>
          <w:color w:val="000000"/>
        </w:rPr>
        <w:t>we estimate that the rate of incidence of</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retinal vasculitis remains rare at approximately 0.01% per injection. In November 2023, we updated the U.S. Prescribing Information, or USPI, for SYFOVRE in collaboration with the FDA to include the events of retinal vasculitis with or without occlusion as part of the “Warnings and Precautions and Adverse Reactions – Postmarketing Experience” sections of the USPI. </w:t>
      </w:r>
      <w:r>
        <w:rPr>
          <w:rFonts w:ascii="Times New Roman" w:cs="Times New Roman" w:eastAsia="Times New Roman" w:hAnsi="Times New Roman"/>
          <w:sz w:val="18"/>
          <w:szCs w:val="18"/>
          <w:color w:val="212121"/>
        </w:rPr>
        <w:t>We believe that the reports of retinal vasculitis had an adverse impact on our sales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SYFOVRE during the year ended December 31, 2023.</w:t>
      </w:r>
    </w:p>
    <w:p>
      <w:pPr>
        <w:spacing w:after="0" w:line="145"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The U.S. Centers for Medicare &amp; Medicaid Services assigned a permanent and product-specific J-code for SYFOVRE, which became effective on October 1, 2023. J-codes are permanent reimbursement codes used by government payers and commercial insurers to facilitate billing of Medicare Part B treatments, which must be administered by a healthcare professional.</w:t>
      </w:r>
    </w:p>
    <w:p>
      <w:pPr>
        <w:spacing w:after="0" w:line="137"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In May 2021, the FDA approved EMPAVELI (pegcetacoplan), the first targeted C3 therapy, for the treatment of paroxysmal nocturnal hemoglobinuria, or PNH. EMPAVELI is approved for use in adults with PNH and can be used by patients who are either treatment-naïve or who are switching from C5 inhibitors eculizumab or ravulizumab. We believe that EMPAVELI has the potential to elevate the standard of care in PNH and are seeking to establish EMPAVELI as the preferred first-line treatment for patients. In October 2023, we announced the FDA approval of the EMPAVELI Injector, a compact, single-use, on-body device designed to enhance self-administration of EMPAVELI. In the United States, there are approximately 1,500 patients with PNH currently being treated with C5 inhibitors and another 150 patients who are expected to be newly diagnosed each year. For the year ended December 31, 2023 and 2022, we generated $91.0 million and $65.1 million, respectively, in U.S. net product revenue from sales of EMPAVELI.</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European Commission, or the EC, approved Aspaveli (pegcetacoplan) for the treatment of adults with PNH who are anemic after treatment with a C5 inhibitor for at least three months. In January 2024, following the submission of the Phase 3 PRINCE data in treatment-naïve PNH patients, the EC updated the Aspaveli indication statement to include all PNH patients with hemolytic anemia. To date, systemic pegcetacoplan has also been approved for the treatment of PNH in Japan, Saudi Arabia, Australia, the United Kingdom and other jurisdictions. Systemic pegcetacoplan is currently marketed under the trade name EMPAVELI in the United States, Saudi Arabia and Australia and Aspaveli in the European Union, Japan and United Kingdom. Under our collaboration and license agreement, or the Sobi collaboration agreement, with Swedish Orphan Biovitrum AB (Publ), or Sobi, Sobi has global co-development and exclusive ex-U.S. commercialization rights for systemic pegcetacoplan and initiated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commercial launch of EMPAVELI/Aspaveli in jurisdictions outside of the United States during the first quarter of 2022. We have commercialization rights for systemic pegcetacoplan in the United States.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inhibition of the complement system by targeting C3 may enable a broad range of therapeutic approaches, and that pegcetacoplan has the potential to address the limitations of existing treatment options or provide a treatment option in indications where there currently are none. We are leading the development of systemic pegcetacoplan in C3 glomerulopathy, or C3G, and immune complex membranoproliferative glomerulonephritis, or IC-MPGN, in nephrology under our collaboration with Sobi. In October 2023, we announced positive results from ten patients treated in the Phase 2 NOBLE trial investigating pegcetacoplan for the treatment of post-transplant recurrence of primary IC-MPGN and C3G. The results showed the potential for a treatment effect in both IC-MPGN and C3G patients treated with pegcetacoplan. Specifically, at 12 weeks, 80% of patients showed a reduction in C3c staining by one or more orders of magnitude of intensity from baseline and 40% of patients showed zero staining intensity, indicating that C3c deposits were cleared. Patients also showed improvements across key clinical measures, including a mean reduction in proteinuria, and stabilized kidney function. There were no discontinuations due to treatment-emergent adverse events. We plan to report top-line data from the ongoing Phase 3 VALIANT trial investigating pegcetacoplan in adolescent and adult patients with native and post-transplant recurrence IC-MPGN and C3G in mid-2024. We are also evaluating the administration of systemic pegcetacoplan as a novel approach to enabling adeno associated virus, or AAV, vector administration for gene therapies.</w:t>
      </w:r>
    </w:p>
    <w:p>
      <w:pPr>
        <w:spacing w:after="0" w:line="1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our collaboration with Sobi, Sobi is leading the development of systemic pegcetacoplan for hematopoietic stem cell transplantation-associated thrombotic microangiopathy, or HSCT-TMA, in hematology. In January 2024, together with Sobi, we discontinued the CASCADE Phase 3 trial evaluating systemic pegcetacoplan in patients with cold agglutinin disease, or CAD, due to the decreased medical need in CAD and the limited number of patients eligible for the CASCADE trial. In May 2023, we and Sobi announced that the Phase 2 MERIDIAN study evaluating systemic pegcetacoplan for amyotrophic lateral sclerosis, or ALS, did not meet its primary or key secondary endpoints. Based on this lack of efficacy, we and Sobi discontinued development of systemic pegcetacoplan for ALS.</w:t>
      </w:r>
    </w:p>
    <w:p>
      <w:pPr>
        <w:spacing w:after="0" w:line="1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Lastly, we are developing additional product candidates with other routes of administration. These candidates include APL-3007, a small interfering RNA, or siRNA, which is in a Phase 1 clinical trial in healthy volunteers with topline data expected in 2024, as well as an oral complement inhibitor in preclinical development. Furthermore, we are collaborating with Beam Therapeutics, Inc., or Beam, on up to six research programs focused on C3 and other complement targets in the eye, liver and brain, using Beam’s proprietary base editing technology to discover new treatments for complement-driven diseases.</w:t>
      </w:r>
    </w:p>
    <w:p>
      <w:pPr>
        <w:spacing w:after="0" w:line="182"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and executing the commercial launch of our products and providing general and administrative support for these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8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complement system plays a pivotal role in both innate and adaptive immune systems. Complement proteins are produced primarily by the liver and circulate in the blood and through the body’s tissues. The complement system may be activated through three principal pathways known as the classical, lectin and alternative pathways, each of which requires the C3 protein to enable three principal immune responses: opsonization, inflammation and formation of the membrane attack complex, or MAC. When C3 is activated, C3 fragments, such as C3b, tag cell surfaces in a process called opsonization, which marks the cells for removal from tissues or the bloodstream. Two other fragments, C3a and C5a, are released, contributing to inflammation in the surrounding tissues. Further complement activation causes membrane attack complex formation on cell surfaces, piercing holes and causing cells to lyse, or rupture, and others to depolarize or lose membrane potential and become dysfunctional.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figure depicts the complement system, its three principal activation pathways and its principal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154305</wp:posOffset>
            </wp:positionV>
            <wp:extent cx="3253740" cy="2791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3740" cy="279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conditions of excessive or uncontrolled activation, the complement system is believed to play a key role in the incidence and progression of several autoimmune and inflammatory diseases. In these diseases, the complement system acts directly through cell dysregulation and tissue destruction by the membrane attack complex and indirectly by signaling other elements of the immune system to inappropriately target otherwise healthy tissues. Because the contribution of complement activation to the development and progression of these diseases is not fully understood, it has been difficult to develop therapeutics that ameliorate the conditions contributing to these diseases by targeting only one of the complement activation pathways.</w:t>
      </w:r>
    </w:p>
    <w:p>
      <w:pPr>
        <w:spacing w:after="0" w:line="14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Complement activation and its effects can be inhibited in multiple ways. By targeting complement proteins upstream of C3, one of the three principal activation pathways can be inhibited. For example, inhibition of factor B or factor D results in inhibition of the alternative pathway, but not the classical or lectin pathways. The complement system can also be inhibited by targeting complement proteins downstream of C3, which results in limited inhibition of complement effects. For example, inhibition of C5 leads to inhibition of the formation of the membrane attack complex and C5a-mediated inflammation but does not affect cell opsonization by C3 fragments or C3a-mediated inflammation</w:t>
      </w:r>
    </w:p>
    <w:p>
      <w:pPr>
        <w:spacing w:after="0" w:line="15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have designed pegcetacoplan to target complement proteins centrally at the level of C3 and its fragment C3b. We believe that this approach can result in broad inhibition of the complement pathways and has the potential to effectively control complement-dependent diseases. We believe that pegcetacoplan has the potential to be a best-in-class treatment and may address the limitations of existing treatment options or provide a treatment option where there is none.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8" w:lineRule="exact"/>
        <w:rPr>
          <w:sz w:val="20"/>
          <w:szCs w:val="20"/>
          <w:color w:val="auto"/>
        </w:rPr>
      </w:pPr>
    </w:p>
    <w:p>
      <w:pPr>
        <w:ind w:right="260" w:firstLine="509"/>
        <w:spacing w:after="0" w:line="276" w:lineRule="auto"/>
        <w:rPr>
          <w:sz w:val="20"/>
          <w:szCs w:val="20"/>
          <w:color w:val="auto"/>
        </w:rPr>
      </w:pPr>
      <w:r>
        <w:rPr>
          <w:rFonts w:ascii="Times New Roman" w:cs="Times New Roman" w:eastAsia="Times New Roman" w:hAnsi="Times New Roman"/>
          <w:sz w:val="17"/>
          <w:szCs w:val="17"/>
          <w:color w:val="auto"/>
        </w:rPr>
        <w:t>We aim to become a leading biopharmaceutical company focused on the discovery, development and commercialization of novel therapeutic compounds to treat diseases in areas such as ophthalmology, rare disease, and neurology through the inhibition of the complement system. We hold commercialization rights for systemic pegcetacoplan, which includes EMPAVELI, in the United States and worldwide commercialization rights to intravitreal pegcetacoplan, which includes SYFOVRE, in addition to worldwide commercialization rights for our other novel compounds targeting complement. To achieve our goals, we are pursuing the following strategies in 2024 with a continued focus on compassion and commitment to patients:</w:t>
      </w:r>
    </w:p>
    <w:p>
      <w:pPr>
        <w:spacing w:after="0" w:line="59" w:lineRule="exact"/>
        <w:rPr>
          <w:sz w:val="20"/>
          <w:szCs w:val="20"/>
          <w:color w:val="auto"/>
        </w:rPr>
      </w:pPr>
    </w:p>
    <w:p>
      <w:pPr>
        <w:ind w:left="1020" w:right="20" w:hanging="504"/>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Bringing SYFOVRE to patients with GA globally</w:t>
      </w:r>
      <w:r>
        <w:rPr>
          <w:rFonts w:ascii="Times New Roman" w:cs="Times New Roman" w:eastAsia="Times New Roman" w:hAnsi="Times New Roman"/>
          <w:sz w:val="18"/>
          <w:szCs w:val="18"/>
          <w:color w:val="auto"/>
        </w:rPr>
        <w:t>. SYFOVRE was approved by the FDA in February 2023, and is the market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for GA in the United States. For the year ended December 31, 2023, more than 160,000 doses (commercial, sample) of SYFOVRE were distributed to physician practices and we generated $275.2 million in U.S. net product revenue from sales of SYFOVRE. We intend to vigorously pursue marketing approvals for SYFOVRE outside the United States.</w:t>
      </w:r>
    </w:p>
    <w:p>
      <w:pPr>
        <w:spacing w:after="0" w:line="67" w:lineRule="exact"/>
        <w:rPr>
          <w:rFonts w:ascii="Times New Roman" w:cs="Times New Roman" w:eastAsia="Times New Roman" w:hAnsi="Times New Roman"/>
          <w:sz w:val="18"/>
          <w:szCs w:val="18"/>
          <w:color w:val="auto"/>
        </w:rPr>
      </w:pPr>
    </w:p>
    <w:p>
      <w:pPr>
        <w:ind w:left="1020" w:right="60" w:hanging="504"/>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Maximizing EMPAVELI as a first-line treatment in PNH . </w:t>
      </w:r>
      <w:r>
        <w:rPr>
          <w:rFonts w:ascii="Times New Roman" w:cs="Times New Roman" w:eastAsia="Times New Roman" w:hAnsi="Times New Roman"/>
          <w:sz w:val="18"/>
          <w:szCs w:val="18"/>
          <w:color w:val="auto"/>
        </w:rPr>
        <w:t>EMPAVELI, administered by subcutaneous injection, is commercially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monotherapy for adult patients with PNH in the United States. We are continuing our efforts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spacing w:after="0" w:line="260" w:lineRule="auto"/>
        <w:rPr>
          <w:sz w:val="20"/>
          <w:szCs w:val="20"/>
          <w:color w:val="auto"/>
        </w:rPr>
      </w:pPr>
      <w:r>
        <w:rPr>
          <w:rFonts w:ascii="Times New Roman" w:cs="Times New Roman" w:eastAsia="Times New Roman" w:hAnsi="Times New Roman"/>
          <w:sz w:val="18"/>
          <w:szCs w:val="18"/>
          <w:color w:val="auto"/>
        </w:rPr>
        <w:t>to make EMPAVELI available to all adult U.S. patients with PNH, regardless of their baseline hemoglobin levels. In 2023, we received approval for two supplemental new drug applications, or sNDAs, broadening the EMPAVELI label and improving the patient experience. The first sNDA was approved in February 2023 and includes treatment-naïve data from the PRINCE study and longer-term, 48-week PEGASUS results. The second sNDA was approved in October 2023 and includes the EMPAVELI Injector.</w:t>
      </w:r>
    </w:p>
    <w:p>
      <w:pPr>
        <w:spacing w:after="0" w:line="70" w:lineRule="exact"/>
        <w:rPr>
          <w:sz w:val="20"/>
          <w:szCs w:val="20"/>
          <w:color w:val="auto"/>
        </w:rPr>
      </w:pPr>
    </w:p>
    <w:p>
      <w:pPr>
        <w:jc w:val="both"/>
        <w:ind w:left="1020" w:right="280" w:hanging="504"/>
        <w:spacing w:after="0" w:line="268"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i w:val="1"/>
          <w:iCs w:val="1"/>
          <w:color w:val="auto"/>
        </w:rPr>
        <w:t>eveloping systemic pegcetacoplan for the potential treatment of C3G and IC-MPGN</w:t>
      </w:r>
      <w:r>
        <w:rPr>
          <w:rFonts w:ascii="Times New Roman" w:cs="Times New Roman" w:eastAsia="Times New Roman" w:hAnsi="Times New Roman"/>
          <w:sz w:val="18"/>
          <w:szCs w:val="18"/>
          <w:color w:val="auto"/>
        </w:rPr>
        <w:t>. We plan to report top-line data from the ongoing Phase 3 VALIANT trial investigating pegcetacoplan in adolescent and adult patients with native and post-transplant recurrence IC-MPGN and C3G in mid-2024.</w:t>
      </w:r>
    </w:p>
    <w:p>
      <w:pPr>
        <w:spacing w:after="0" w:line="61" w:lineRule="exact"/>
        <w:rPr>
          <w:rFonts w:ascii="Times New Roman" w:cs="Times New Roman" w:eastAsia="Times New Roman" w:hAnsi="Times New Roman"/>
          <w:sz w:val="18"/>
          <w:szCs w:val="18"/>
          <w:color w:val="auto"/>
        </w:rPr>
      </w:pPr>
    </w:p>
    <w:p>
      <w:pPr>
        <w:ind w:left="1020" w:right="160" w:hanging="504"/>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early pipeline and Beam collaboration</w:t>
      </w:r>
      <w:r>
        <w:rPr>
          <w:rFonts w:ascii="Times New Roman" w:cs="Times New Roman" w:eastAsia="Times New Roman" w:hAnsi="Times New Roman"/>
          <w:sz w:val="18"/>
          <w:szCs w:val="18"/>
          <w:color w:val="auto"/>
        </w:rPr>
        <w:t>. We plan to continue the development of treatments for a broad range of complement-dependent autoimmune and inflammatory diseases with systemic pegcetacoplan, APL-3007, our siRNA , and new product candidates and research activities under our collaboration with Beam to develop gene-editing therapies in multiple therapeutic areas including rare diseases and neurology.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88"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Pegcetacoplan targets C3, the central protein of the complement cascade. Pegcetacoplan is a conjugate of a compstatin analogue, formulated both for intravitreal administration by injections directly into the eye, and systemic administration by subcutaneous injection, which is an injection into the tissue under the skin. We have developed and are developing pegcetacoplan and other product candidates through various routes of administration.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products and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6165215" cy="2123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65215" cy="212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Ophthalmology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commercializing SYFOVRE as a monotherapy for patients with GA.</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Atrophy</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GA is a type of AMD. According to the Brightfocus Foundation, over ten million people in the United States have some form of AMD. AMD is a disorder of the central portion of the retina in the eye,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 the age of 50. In the early stage of the disease, yellow deposits, or drusen, appear under the retina. Over time, the disease can progress to an intermediate stage where drusen deposits grow larger and other changes reflective of disease progression appear and then to an advanced stage associated with progressive and often severe vision loss which may be characterized as either GA or wet AMD. GA is characterized by a degenerative process resulting in the progressive loss of retinal cells, which over the course of several years results in blindness. Based on published studies, we estimate that at least five million people worldwide, including more than one million people in the United States, are living with GA.</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40" w:firstLine="509"/>
        <w:spacing w:after="0" w:line="260" w:lineRule="auto"/>
        <w:rPr>
          <w:sz w:val="20"/>
          <w:szCs w:val="20"/>
          <w:color w:val="auto"/>
        </w:rPr>
      </w:pPr>
      <w:r>
        <w:rPr>
          <w:rFonts w:ascii="Times New Roman" w:cs="Times New Roman" w:eastAsia="Times New Roman" w:hAnsi="Times New Roman"/>
          <w:sz w:val="18"/>
          <w:szCs w:val="18"/>
          <w:color w:val="auto"/>
        </w:rPr>
        <w:t>At the American Academy of Ophthalmology, or AAO, in November 2020, a retrospective study of 69,000 patients diagnosed with GA was presented that analyzed changes in visual acuity and disease progression over two years. The analysis was presented by Verana Health, a data analysis group in retinal diseases under a collaboration with us, and the AAO’s IRIS (Intelligent Research in Sight) Registry, the nation’s first comprehensive clinical registry for eye disease. Key findings from the real-world clinical data showed:</w:t>
      </w:r>
    </w:p>
    <w:p>
      <w:pPr>
        <w:spacing w:after="0" w:line="74" w:lineRule="exact"/>
        <w:rPr>
          <w:sz w:val="20"/>
          <w:szCs w:val="20"/>
          <w:color w:val="auto"/>
        </w:rPr>
      </w:pPr>
    </w:p>
    <w:p>
      <w:pPr>
        <w:jc w:val="both"/>
        <w:ind w:left="1020" w:right="100" w:hanging="503"/>
        <w:spacing w:after="0" w:line="265" w:lineRule="auto"/>
        <w:tabs>
          <w:tab w:leader="none" w:pos="1020" w:val="left"/>
        </w:tabs>
        <w:numPr>
          <w:ilvl w:val="0"/>
          <w:numId w:val="8"/>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At the first study visit, patients presented with relatively preserved vision, especially in eyes with GA lesions without subfoveal involvement (lesions outside the fovea, which is the central portion of the retina). However, patients with or without subfoveal involvement progressively lost vision over time at a rate of approximately five letters on a vision chart per year.</w:t>
      </w:r>
    </w:p>
    <w:p>
      <w:pPr>
        <w:spacing w:after="0" w:line="69" w:lineRule="exact"/>
        <w:rPr>
          <w:rFonts w:ascii="Times New Roman" w:cs="Times New Roman" w:eastAsia="Times New Roman" w:hAnsi="Times New Roman"/>
          <w:sz w:val="18"/>
          <w:szCs w:val="18"/>
          <w:color w:val="111111"/>
        </w:rPr>
      </w:pPr>
    </w:p>
    <w:p>
      <w:pPr>
        <w:ind w:left="1020" w:right="280" w:hanging="503"/>
        <w:spacing w:after="0" w:line="265" w:lineRule="auto"/>
        <w:tabs>
          <w:tab w:leader="none" w:pos="1020" w:val="left"/>
        </w:tabs>
        <w:numPr>
          <w:ilvl w:val="0"/>
          <w:numId w:val="8"/>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Progression from GA to new onset wet AMD was observed in 4.7% of patients with bilateral GA (GA in both eyes) and 13.3% of patients with wet AMD in the contralateral eye (AMD in the non-treatment eye) during the first 12 months. The rate at 24 months was 8.2% and 21.6% in bilateral GA and wet AMD in the contralateral eye, respectively.</w:t>
      </w:r>
    </w:p>
    <w:p>
      <w:pPr>
        <w:spacing w:after="0" w:line="69" w:lineRule="exact"/>
        <w:rPr>
          <w:rFonts w:ascii="Times New Roman" w:cs="Times New Roman" w:eastAsia="Times New Roman" w:hAnsi="Times New Roman"/>
          <w:sz w:val="18"/>
          <w:szCs w:val="18"/>
          <w:color w:val="111111"/>
        </w:rPr>
      </w:pPr>
    </w:p>
    <w:p>
      <w:pPr>
        <w:ind w:left="1020" w:right="160" w:hanging="503"/>
        <w:spacing w:after="0" w:line="281" w:lineRule="auto"/>
        <w:tabs>
          <w:tab w:leader="none" w:pos="1020" w:val="left"/>
        </w:tabs>
        <w:numPr>
          <w:ilvl w:val="0"/>
          <w:numId w:val="8"/>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A large proportion of GA patients did not return for a follow-up visit after two years. Of the GA patients potentially eligible for inclusion in the analysis, only 40% had a follow-up visit after two years and were ultimately included in the study.</w:t>
      </w:r>
    </w:p>
    <w:p>
      <w:pPr>
        <w:spacing w:after="0" w:line="13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mechanism by which complement activation is upregulated and can damage the retina is poorly understood. However, we believe that the upregulation of complement activation due to immune dysregulation damages retinal cells in two ways. First, retinal cells are damaged by inflammation caused by increased levels of C3a and C5a. Second, the increased deposition of C3b on the cell surface of retinal cells caused by complement activation, combined with the limited ability of cells to remove C3 activated fragments such as C3b, leads to the accumulation of C3 fragments on the retinal cells. The presence of C3a and C5a, as well as C3 fragment deposition on retinal cells, activates macrophages and microglia. Macrophages are large white blood cells that form part of the immune system that engulf and digest cells, debris and foreign substances. Macrophages also play an important role in modulating other parts of the immune system. Microglia are a type of tissue-residing macrophage located in the brain, spinal cord and retina.</w:t>
      </w:r>
    </w:p>
    <w:p>
      <w:pPr>
        <w:spacing w:after="0" w:line="146"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Because pegcetacoplan both blocks the production of C3a and C5a and prevents the accumulation of C3 fragments on retinal cells through the inhibition of C3, we believe that pegcetacoplan may control complement activation in the retinal environment to return it to its quiescent state. We do not believe that selective inhibitors of the alternative pathway, which would only partially block the formation of C3b on the retinal cell surface, or C5 inhibitors, which cannot prevent C3b deposition on retinal cells, can cause the retinal environment to return to its quiescent state.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Approach</w:t>
      </w:r>
    </w:p>
    <w:p>
      <w:pPr>
        <w:spacing w:after="0" w:line="18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believe SYFOVRE, with its inhibition of complement activation at the level of C3 in the retinal environment, may provide the following benefits for patients with GA:</w:t>
      </w:r>
    </w:p>
    <w:p>
      <w:pPr>
        <w:spacing w:after="0" w:line="53" w:lineRule="exact"/>
        <w:rPr>
          <w:sz w:val="20"/>
          <w:szCs w:val="20"/>
          <w:color w:val="auto"/>
        </w:rPr>
      </w:pPr>
    </w:p>
    <w:p>
      <w:pPr>
        <w:ind w:left="1020" w:right="80" w:hanging="504"/>
        <w:spacing w:after="0" w:line="25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or reduction of the rate of retinal cell death, with increasing treatment effects over time</w:t>
      </w:r>
      <w:r>
        <w:rPr>
          <w:rFonts w:ascii="Times New Roman" w:cs="Times New Roman" w:eastAsia="Times New Roman" w:hAnsi="Times New Roman"/>
          <w:sz w:val="18"/>
          <w:szCs w:val="18"/>
          <w:color w:val="auto"/>
        </w:rPr>
        <w:t>. We believe SYFOVRE may mitigate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retinal cell death in GA, leading to a reduction in GA lesion growth over time. In our Phase 3 trials, SYFOVRE showed a slowing of GA progression, with evidence of treatment effects increasing over the 24-month period, and well-demonstrated safety profile following nearly 12,000 injections. In November 2023, we presented 36-month data from our GALE extension study in which SYFOVRE continued to demonstrate evidence of increasing treatment effects over time, including more than 40% reduction in nonsubfoveal GA lesion growth in third year following monthly dosing as compared to projected sham.</w:t>
      </w:r>
    </w:p>
    <w:p>
      <w:pPr>
        <w:spacing w:after="0" w:line="77" w:lineRule="exact"/>
        <w:rPr>
          <w:rFonts w:ascii="Times New Roman" w:cs="Times New Roman" w:eastAsia="Times New Roman" w:hAnsi="Times New Roman"/>
          <w:sz w:val="18"/>
          <w:szCs w:val="18"/>
          <w:color w:val="auto"/>
        </w:rPr>
      </w:pPr>
    </w:p>
    <w:p>
      <w:pPr>
        <w:ind w:left="1020" w:right="40" w:hanging="504"/>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effects observed in two dosing regimens. </w:t>
      </w:r>
      <w:r>
        <w:rPr>
          <w:rFonts w:ascii="Times New Roman" w:cs="Times New Roman" w:eastAsia="Times New Roman" w:hAnsi="Times New Roman"/>
          <w:sz w:val="18"/>
          <w:szCs w:val="18"/>
          <w:color w:val="auto"/>
        </w:rPr>
        <w:t>In our Phase 3 trials, SYFOVRE showed a slowing of GA progression over 24 months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every-other-month and monthly dosing. The prescribing label for SYFOVRE indicates that the recommended dose to be administered to each eye is once every 25 to 60 days. This provides physicians with flexibility to determine the appropriate dosing schedule for their individual patients.</w:t>
      </w:r>
    </w:p>
    <w:p>
      <w:pPr>
        <w:spacing w:after="0" w:line="70" w:lineRule="exact"/>
        <w:rPr>
          <w:rFonts w:ascii="Times New Roman" w:cs="Times New Roman" w:eastAsia="Times New Roman" w:hAnsi="Times New Roman"/>
          <w:sz w:val="18"/>
          <w:szCs w:val="18"/>
          <w:color w:val="auto"/>
        </w:rPr>
      </w:pPr>
    </w:p>
    <w:p>
      <w:pPr>
        <w:ind w:left="1020" w:right="100" w:hanging="504"/>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application to all patients with GA regardless of lesion location. </w:t>
      </w:r>
      <w:r>
        <w:rPr>
          <w:rFonts w:ascii="Times New Roman" w:cs="Times New Roman" w:eastAsia="Times New Roman" w:hAnsi="Times New Roman"/>
          <w:sz w:val="18"/>
          <w:szCs w:val="18"/>
          <w:color w:val="auto"/>
        </w:rPr>
        <w:t>SYFOVRE, by targeting C3, has been designed to inhibit all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complement activation pathways and may therefore be effective in a broad patient population. In our Phase 3 trials at 24 months, pegcetacoplan showed a slowing of GA progression in lesions with or without subfoveal involvement. DERBY and OAKS are the only clinical trials to-date that have shown a slowdown in the progression of GA regardless of lesion location.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0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February 2023, intravitreal pegcetacoplan was approved by the FDA with the brand name SYFOVRE for the treatment of adult patients with GA secondary to AMD. In December 2022, we also submitted an MAA to the EMA for intravitreal pegcetacoplan for the treatment of GA. The EMA subsequently provided MAA validation and the application is under review. In January 2024, we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announced that the CHMP adopted a negative opinion on the MAA. We are seeking immediate re-examination of the opinion. Our marketing applications for the treatment of GA are currently under review by regulatory authorities in Canada, Australia, the United Kingdom, and Switzerland.</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 and Medical Activities for GA Launch</w:t>
      </w:r>
    </w:p>
    <w:p>
      <w:pPr>
        <w:spacing w:after="0" w:line="202"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launched SYFOVRE, the first approved treatment for GA, in the United States in March 2023. SYFOVRE is currently the market-leading treatment for GA, a disease that affects more than one million people in the United States and five million people worldwide.</w:t>
      </w:r>
    </w:p>
    <w:p>
      <w:pPr>
        <w:spacing w:after="0" w:line="12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U.S. field sales team has been engaging with eyecare professionals, or ECPs, focusing specifically on retina specialists and treating ophthalmologists in person, at conferences and virtually. Field teams are focused on SYFOVRE brand messaging and clinical overview, highlighting key advantages such as increasing effects over time, its strong clinical profile, and dosing flexibility. We also have a thought leader liaison team who is focused on building advocacy with key opinion leaders in the retina space and a strategic account team to identify and develop working relationships with key decision makers within targeted private equity groups and large accounts. Our marketing efforts also reach ECPs through digital and print media. We reach patients through direct-to-consumer (TV, print and digital media) disease state education and branded SYFOVRE messaging encouraging them to see their eye doctor if they have symptoms or a previous diagnosis.</w:t>
      </w:r>
    </w:p>
    <w:p>
      <w:pPr>
        <w:spacing w:after="0" w:line="146" w:lineRule="exact"/>
        <w:rPr>
          <w:sz w:val="20"/>
          <w:szCs w:val="20"/>
          <w:color w:val="auto"/>
        </w:rPr>
      </w:pPr>
    </w:p>
    <w:p>
      <w:pPr>
        <w:ind w:right="200" w:firstLine="509"/>
        <w:spacing w:after="0" w:line="272" w:lineRule="auto"/>
        <w:rPr>
          <w:sz w:val="20"/>
          <w:szCs w:val="20"/>
          <w:color w:val="auto"/>
        </w:rPr>
      </w:pPr>
      <w:r>
        <w:rPr>
          <w:rFonts w:ascii="Times New Roman" w:cs="Times New Roman" w:eastAsia="Times New Roman" w:hAnsi="Times New Roman"/>
          <w:sz w:val="17"/>
          <w:szCs w:val="17"/>
          <w:color w:val="auto"/>
        </w:rPr>
        <w:t>Our market access team has been engaging with primary and secondary payers representing a significant percentage of GA patients. We have also established a robust distribution network by partnering with key specialty distributors and specialty pharmacies to maximize product access by retina specialists. Finally, we have a field reimbursement team to educate practices and address access issues to fully support the reimbursement journey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SYFOVRE.</w:t>
      </w:r>
    </w:p>
    <w:p>
      <w:pPr>
        <w:spacing w:after="0" w:line="179"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ApellisAssist for SYFOVRE is designed to eliminate patient access barriers by providing enrolled individuals with insurance support, financial assistance for eligible patients, and education on the importance of maintaining treatment as prescribed. Additionally, prescribers will have the option to enroll their patients in GAMyWay, our patient services program, for ongoing treatment support and continuous education.</w:t>
      </w:r>
    </w:p>
    <w:p>
      <w:pPr>
        <w:spacing w:after="0" w:line="137"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Our medical affairs team is engaging with ECPs, either in-person or virtually, and through our presence at medical meetings and other in-person engagements when appropriate. Throughout 2023, we participated in key scientific meetings, including the American Academy of Ophthalmology, Retina Society, FLORETINA, and Macula Society.</w:t>
      </w:r>
    </w:p>
    <w:p>
      <w:pPr>
        <w:spacing w:after="0" w:line="3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initiated the Phase 3 DERBY and OAKS trials evaluating the efficacy and safety of SYFOVRE in patients with GA secondary to AMD in September 2018. We presented reported 24-month results from our DERBY and OAKS trials in August 2022, following 18-month results presented in March 2022 and 12-month results presented in September 2021. In July 2018, we received fast track designation from the FDA for pegcetacoplan in GA. In August 2017, we completed the primary endpoint analysis for the 12-month treatment period for the Phase 2 FILLY trial and in February 2018 we completed the analysis of data from the six-month post-treatment monitoring period from that trial. Prior to the FILLY trial, we completed a Phase 1 trial of pegcetacoplan in patients with wet AMD in 2016.</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3 Clinical Trials</w:t>
      </w:r>
    </w:p>
    <w:p>
      <w:pPr>
        <w:spacing w:after="0" w:line="186"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Our Phase 3 clinical program in GA consisted of two prospective, multicenter, randomized, double-masked, sham-injection controlled trials (DERBY and OAKS) conducted at more than 200 sites worldwide to assess the efficacy and safety of multiple intravitreal injections of pegcetacoplan in patients with GA. We enrolled 621 patients in DERBY and 637 patients in OAKS.</w:t>
      </w:r>
    </w:p>
    <w:p>
      <w:pPr>
        <w:spacing w:after="0" w:line="13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Patients in each Phase 3 trial received a dose of 15 mg of pegcetacoplan injected intravitreally in a 0.1 cc volume, monthly or every other month for 24 months. In the sham-injection cohorts, patients received a simulated injection. As with our Phase 2 FILLY clinical trial, the primary endpoint of each trial was the change in total area of GA lesions in the study eye compared to sham. The measurements of change in lesion size were analyzed at 12 months, 18 months, and 24 months. Patients who develop new onset exudation in the study eye continued to be treated with pegcetacoplan along with anti-VEGF injections, the current standard of care for wet AMD.</w:t>
      </w:r>
    </w:p>
    <w:p>
      <w:pPr>
        <w:spacing w:after="0" w:line="182"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We completed the primary analysis for the 24-month treatment period in August 2022. Monthly and every-other-month, or EOM, treatment with SYFOVRE showed increased effects over time. In OAKS, monthly and EOM treatment with SYFOVRE reduced GA lesion growth by 22% (p&lt;0.0001) and 18% (p=0.0002), respectively. In DERBY, monthly and EOM treatment with</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SYFOVRE reduced GA lesion growth by 19% (p=0.0004) and 16% (p=0.0030), respectively. All p-values are nominal and were calculated using the same methodologies as the 12-month primary endpoint analysis.</w:t>
      </w:r>
    </w:p>
    <w:p>
      <w:pPr>
        <w:spacing w:after="0" w:line="180"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8"/>
          <w:szCs w:val="18"/>
          <w:color w:val="auto"/>
        </w:rPr>
        <w:t>Between months 18-24, the pegcetacoplan treatment effect accelerated compared to previous six-month periods, with robust reductions of GA lesion growth versus sham (all p-values are nominal). The increased effects were driven by a greater slowing of lesion growth by pegcetacoplan and not by an increase in the lesion growth rate in the sham group, which was highly consistent over each of the four six-month intervals (1.0+/-0.05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DERBY: 36% monthly, p&lt;0.0001; 29% EOM, p=0.0002</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OAKS: 24% monthly, p=0.0080; 25% EOM, p=0.0007</w:t>
      </w:r>
    </w:p>
    <w:p>
      <w:pPr>
        <w:spacing w:after="0" w:line="225"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Additionally, the reduction of GA lesion growth in lesions without subfoveal involvement (28% monthly; 28% EOM) was comparable to the reduction in lesions with subfoveal involvement (34% monthly; 28% EOM) in the combined studies between months 18-24.</w:t>
      </w:r>
    </w:p>
    <w:p>
      <w:pPr>
        <w:spacing w:after="0" w:line="1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SYFOVRE was well-tolerated in both DERBY and OAKS, generally consistent with longer-term exposure to intravitreal injections. The most common adverse reactions (≥ 5%) reported in patients receiving SYFOVRE in these studies were ocular discomfort, neovascular AMD, vitreous floaters, and conjunctival hemorrhage. Rates of ischemic optic neuropathy events were higher in the monthly group as compared to the every-other-month and sham groups (1.7% of patients treated monthly, 0.2% of patients treated EOM and 0.0% of patients assigned to sham). Rates of endophthalmitis and intraocular inflammation were generally in line with those reported in studies of other intravitreal therapies. No events of occlusive or non-occlusive vasculitis or retinitis were observed over 24 months.</w:t>
      </w:r>
    </w:p>
    <w:p>
      <w:pPr>
        <w:spacing w:after="0" w:line="118"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We used a liquid formulation of pegcetacoplan in our Phase 3 trials instead of the freeze-dried formulation that we used in the Phase 2 FILLY trial, which we believe may reduce the incidence of endophthalmitis.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Extension Study</w:t>
      </w:r>
    </w:p>
    <w:p>
      <w:pPr>
        <w:spacing w:after="0" w:line="227"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We are currently conducting a 36-month, open-label extension study (GALE) to evaluate the long-term safety and efficacy of intravitreal pegcetacoplan in patients with GA secondary to AMD. The objectives of the study are to evaluate the long-term incidence and severity of ocular and systemic treatment emergent adverse events as well as change in the total area of GA lesions as measured by fundus autofluorescence. Approximately 800 patients enrolled into the GALE extension study.</w:t>
      </w:r>
    </w:p>
    <w:p>
      <w:pPr>
        <w:spacing w:after="0" w:line="182"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In November 2023, we presented data from GALE following three years of continuous treatment with SYFOVRE. Results showed that SYFOVRE continued to demonstrate increasing treatment effects over time. In year three, SYFOVRE (all p-values are nominal):</w:t>
      </w:r>
    </w:p>
    <w:p>
      <w:pPr>
        <w:spacing w:after="0" w:line="55" w:lineRule="exact"/>
        <w:rPr>
          <w:sz w:val="20"/>
          <w:szCs w:val="20"/>
          <w:color w:val="auto"/>
        </w:rPr>
      </w:pPr>
    </w:p>
    <w:p>
      <w:pPr>
        <w:ind w:left="1020" w:right="1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GA lesion growth with both monthly (35%; p&lt;0.0001) and every-other-month (EOM) (24%; p&lt;0.0001) treatment compared to the projected sham arm.</w:t>
      </w:r>
    </w:p>
    <w:p>
      <w:pPr>
        <w:spacing w:after="0" w:line="54"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nonsubfoveal GA lesion growth with both monthly (42%; p&lt;0.0001) and EOM (28%; p=0.0015) treatment compared to the projected sham arm.</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GA lesion growth by 19% (p&lt;0.0001) after one year of SYFOVRE treatment (combined monthly and EOM), compared to the sham treatment period, in patients who crossed over from the sham group.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safety profile of SYFOVRE in year three remained consistent with previously reported data.</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2 Clinical Trial</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third quarter of 2015, we initiated FILLY, our Phase 2 multicenter, randomized, single-masked, sham-controlled clinical trial of SYFOVRE in patients with GA. We enrolled 246 patients in the trial. Patients were randomized in a 2:2:1:1 manner to receive pegcetacoplan monthly, pegcetacoplan EOM, sham injection monthly or sham injection EOM. Patients in the pegcetacoplan arms received a dose of 15 mg of pegcetacoplan injected intravitreally in a 0.1 cc volume, monthly or every other month for 12 months followed by six months of monitoring without treatment. In the sham-injection cohorts, patients received a simulated injection. Study eyes received up to 13 injections in the monthly arm, and up to seven injections in the every-other-month arm. Eyes were evaluated for GA at the end of months two, six, 12 and 18.</w:t>
      </w:r>
    </w:p>
    <w:p>
      <w:pPr>
        <w:spacing w:after="0" w:line="15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primary efficacy endpoint was change in the square root of GA lesion size from baseline to month 12 in each treatment arm when compared to sham in the modified intent to treat population, which included 84 patients receiving administration of pegcetacoplan every month, 78 patients receiving administration of pegcetacoplan every other month and 80 patients in the group</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receiving sham injections. The primary safety endpoint was the number and severity of local and systemic treatment emergent adverse events. The trial was monitored by a safety monitoring committee.</w:t>
      </w:r>
    </w:p>
    <w:p>
      <w:pPr>
        <w:spacing w:after="0" w:line="136" w:lineRule="exact"/>
        <w:rPr>
          <w:sz w:val="20"/>
          <w:szCs w:val="20"/>
          <w:color w:val="auto"/>
        </w:rPr>
      </w:pPr>
    </w:p>
    <w:p>
      <w:pPr>
        <w:ind w:right="180" w:firstLine="509"/>
        <w:spacing w:after="0" w:line="288" w:lineRule="auto"/>
        <w:rPr>
          <w:sz w:val="20"/>
          <w:szCs w:val="20"/>
          <w:color w:val="auto"/>
        </w:rPr>
      </w:pPr>
      <w:r>
        <w:rPr>
          <w:rFonts w:ascii="Times New Roman" w:cs="Times New Roman" w:eastAsia="Times New Roman" w:hAnsi="Times New Roman"/>
          <w:sz w:val="17"/>
          <w:szCs w:val="17"/>
          <w:color w:val="auto"/>
        </w:rPr>
        <w:t>We announced 12-month results of the Phase 2 trial in August 2017. After 12 months, patients treated monthly with pegcetacoplan showed a 29% reduction in the rate of GA lesion growth compared to sham (p-value=0.008), and patients treated EOM showed a 20% reduction compared to sham (p-value=0.067). The rate of GA lesion growth in the sham was consistent with the rate of lesion growth in patients with GA in third-party historical studies.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the 12-month treatment period, patients were monitored for a further six months without treatment. During the monitoring period, the GA lesions in the previously treated groups grew at a rate similar to sham but the treatment effect was maintained for the full 18 months. Patients who received monthly pegcetacoplan, and for whom images were available at 12 and 18 months showed a 12% reduction in the growth rate of lesions over the six-month monitoring period compared to sham, while patients who received EOM administration of pegcetacoplan showed a 9% reduction in the growth rate of lesions over the six-month monitoring period compared to sham. These differences are not considered to be statistically significant. In the modified intent to treat population over the full 18-month period, patients who received monthly pegcetacoplan showed a 20% reduction in the growth rate of lesions over the full 18-month period compared to sham, while patients who received EOM administration of pegcetacoplan showed a 16% reduction in the growth rate of lesions over the full 18-month period compared to sham.</w:t>
      </w:r>
    </w:p>
    <w:p>
      <w:pPr>
        <w:spacing w:after="0" w:line="149"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The most frequently reported adverse events in the trial were associated with the injection procedure in the study eye. These adverse events included two cases of confirmed endophthalmitis and one case of presumed endophthalmitis where the culture tested negative for bacterial growth. In the latter case, the patient fully recovered visual acuity. In our Phase 2 trial, we observed an incidence rate of endophthalmitis of 0.21% per injection.</w:t>
      </w:r>
    </w:p>
    <w:p>
      <w:pPr>
        <w:spacing w:after="0" w:line="15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during the 12-month treatment period and the six-month monitoring period, we observed a higher incidence of new onset exudation in the study eyes treated with pegcetacoplan as compared to sham, predominantly in patients with a history of wet AMD in the fellow eye. Specifically, we observed that, after the 12-month treatment period and the six-month monitoring period, 18 patients (21%) receiving administration of pegcetacoplan every month and seven patients (9%) receiving administration of pegcetacoplan every other month showed new onset exudation in the study eye, as compared to one patient (1%) in the sham group.</w:t>
      </w:r>
    </w:p>
    <w:p>
      <w:pPr>
        <w:spacing w:after="0" w:line="14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Patients who experienced new onset exudation in the study eye were discontinued from treatment with pegcetacoplan and, in all but one case, treated with standard of care anti-VEGF injections under supervision. There was no meaningful negative impact on visual acuity resulting from the new onset exudations.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Rare Disease</w:t>
      </w:r>
    </w:p>
    <w:p>
      <w:pPr>
        <w:spacing w:after="0" w:line="18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Together with Sobi, we are developing systemic pegcetacoplan in multiple late-stage programs in rare disease indications in hematology and nephrology. We are leading the clinical development for the treatment of C3G/IC-MPGN, and Sobi is leading the clinical development for the treatment of HSCT-TMA. In PNH, we and Sobi have now obtained approval of systemic pegcetacoplan for the treatment of PNH in multiple jurisdictions, including the United States and the European Union.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Paroxysmal Nocturnal Hemoglobinuria (PNH)</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PNH is a rare, chronic, debilitating blood disorder that is most frequently acquired in early adulthood and usually continues throughout the life of the patient. Some of the prominent symptoms of PNH include severe anemia, a condition that results from having too few red blood cells, severe abdominal pain, severe headaches, back pain, excessive weakness, fatigue and recurrent infections. If not treated, PNH results in the death of approximately 35% of affected individuals within five years of diagnosis and 50% of affected individuals within ten years of diagnosis, primarily due to the formation of life-threatening blood clots inside the blood vessels, or thrombosis. Based on prevalence data published in an abstract in a peer-reviewed journal, we estimate that there are approximately 4,700 patients with PNH in the United States and approximately 15,000 patients with PNH worldwide.</w:t>
      </w:r>
    </w:p>
    <w:p>
      <w:pPr>
        <w:spacing w:after="0" w:line="14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PNH is caused by the presence of mutant stem cells in the bone marrow that lack important proteins on their surface that protect against activation of the complement system. In patients with PNH, an autoimmune response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thrombosis, which is the leading cause of mortality in patients with PNH. Mutant red blood cells are susceptible to destruction by intravascular and extravascular hemolysis. Intravascular hemolysis, which involves the destruction of blood cells within the blood vessels, is caused by the formation of the membrane attack complex on the surface of red blood cells causing them to rupture. Intravascular hemolysis causes severe anemia and contributes to the risk of thrombosis. Extravascular hemolysis, which involves the destruction of blood cells outside the blood vessels, is caused by C3-related opsonization on red blood cells leading to removal of the cells from the blood stream by the liver and the spleen. Extravascular hemolysis further contributes to severe anemia and transfusion dependency in patients with PNH.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Approach</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because systemic pegcetacoplan inhibits complement activation at the level of C3, and based on the results from our Phase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PEGASUS and PRINCE studies, systemic pegcetacoplan provides the following benefits in controlling PNH:</w:t>
      </w:r>
    </w:p>
    <w:p>
      <w:pPr>
        <w:spacing w:after="0" w:line="96" w:lineRule="exact"/>
        <w:rPr>
          <w:sz w:val="20"/>
          <w:szCs w:val="20"/>
          <w:color w:val="auto"/>
        </w:rPr>
      </w:pPr>
    </w:p>
    <w:p>
      <w:pPr>
        <w:ind w:left="1020" w:right="360" w:hanging="504"/>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of intravascular hemolysis and its consequences</w:t>
      </w:r>
      <w:r>
        <w:rPr>
          <w:rFonts w:ascii="Times New Roman" w:cs="Times New Roman" w:eastAsia="Times New Roman" w:hAnsi="Times New Roman"/>
          <w:sz w:val="18"/>
          <w:szCs w:val="18"/>
          <w:color w:val="auto"/>
        </w:rPr>
        <w:t>. Systemic pegcetacoplan may prevent the formation of the membrane attack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on blood cells and thereby prevents the activation of mutant platelets and intravascular hemolysis, thus reducing the risk of thrombosis, the leading cause of mortality in PNH, as well as reducing anemia.</w:t>
      </w:r>
    </w:p>
    <w:p>
      <w:pPr>
        <w:spacing w:after="0" w:line="64" w:lineRule="exact"/>
        <w:rPr>
          <w:rFonts w:ascii="Times New Roman" w:cs="Times New Roman" w:eastAsia="Times New Roman" w:hAnsi="Times New Roman"/>
          <w:sz w:val="18"/>
          <w:szCs w:val="18"/>
          <w:color w:val="auto"/>
        </w:rPr>
      </w:pPr>
    </w:p>
    <w:p>
      <w:pPr>
        <w:ind w:left="1020" w:right="340" w:hanging="504"/>
        <w:spacing w:after="0" w:line="28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Prevention of extravascular hemolysis and its consequences</w:t>
      </w:r>
      <w:r>
        <w:rPr>
          <w:rFonts w:ascii="Times New Roman" w:cs="Times New Roman" w:eastAsia="Times New Roman" w:hAnsi="Times New Roman"/>
          <w:sz w:val="18"/>
          <w:szCs w:val="18"/>
          <w:color w:val="auto"/>
        </w:rPr>
        <w:t>. Systemic pegcetacoplan may prevent C3b opsonization, on blood cells,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thereby prevents extravascular hemolysis, further reducing anemia and transfusion dependency in patients with PNH.</w:t>
      </w:r>
    </w:p>
    <w:p>
      <w:pPr>
        <w:spacing w:after="0" w:line="51" w:lineRule="exact"/>
        <w:rPr>
          <w:rFonts w:ascii="Times New Roman" w:cs="Times New Roman" w:eastAsia="Times New Roman" w:hAnsi="Times New Roman"/>
          <w:sz w:val="18"/>
          <w:szCs w:val="18"/>
          <w:color w:val="auto"/>
        </w:rPr>
      </w:pPr>
    </w:p>
    <w:p>
      <w:pPr>
        <w:ind w:left="1020" w:right="80" w:hanging="504"/>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Ease and convenience of use</w:t>
      </w:r>
      <w:r>
        <w:rPr>
          <w:rFonts w:ascii="Times New Roman" w:cs="Times New Roman" w:eastAsia="Times New Roman" w:hAnsi="Times New Roman"/>
          <w:sz w:val="18"/>
          <w:szCs w:val="18"/>
          <w:color w:val="auto"/>
        </w:rPr>
        <w:t>. The ability to self-administer pegcetacoplan by the EMPAVELI injector or subcutaneous injection on a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which may improve the quality of life for patients with PNH by eliminating the need to travel to a health care facility for intravenous treatment.</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0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May 2021, systemic pegcetacoplan was approved by the FDA with the brand name EMPAVELI for the treatment of adult patients with PNH. In December 2021, the European Commission approved systemic pegcetacoplan with the brand name Aspaveli for the treatment of adults with PNH who are anemic after treatment with a C5 inhibitor for at least three months. Aspaveli was approved in the United Kingdom in March 2022 and in Japan in March 2023. In January 2024, following the submission of the Phase 3 PRINCE data in treatment-naïve PNH patients, the EC updated the Aspaveli indication statement to include all PNH patients with hemolytic anemia. In January 2022, pegcetacoplan was also approved as EMPAVELI in Saudi Arabia and Australia.</w:t>
      </w:r>
    </w:p>
    <w:p>
      <w:pPr>
        <w:spacing w:after="0" w:line="145"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In 2022, we submitted two sNDAs to the FDA intended to strengthen the EMPAVELI label and improve the patient experience. The first sNDA was approved in February 2023 and includes the treatment-naïve data from the PRINCE study and the longer-term, 48-week PEGASUS results. The second sNDA for the EMPAVELI injector was approved in October 2023.</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Commercial and Medical Activities for EMPAVELI</w:t>
      </w:r>
    </w:p>
    <w:p>
      <w:pPr>
        <w:spacing w:after="0" w:line="18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launched EMPAVELI in the United States for patients with PNH following its approval by the FDA in May 2021. We believe that with EMPAVELI we can elevate the standard of care for patients and are seeking to further establish EMPAVELI as first-line treatment. Between launch through December 31, 2023, we generated net product revenue from sales of EMPAVELI of $171.3 million.</w:t>
      </w:r>
    </w:p>
    <w:p>
      <w:pPr>
        <w:spacing w:after="0" w:line="150"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sales team is covering the health care professionals, or HCPs, and key treatment centers, focusing on HCPs who have patients that continue to experience breakthrough hemolysis, have persistently low hemoglobin, high fatigue, and require transfusions despite being on C5 inhibitors.</w:t>
      </w:r>
    </w:p>
    <w:p>
      <w:pPr>
        <w:spacing w:after="0" w:line="12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market access team is engaging with primary and secondary payers representing a significant percentage of PNH patients. Our discussions with primary and secondary payers have yielded positive feedback on the clinical profile of pegcetacoplan and resulted in EMPAVELI being added to several positive formulary positions. We implemented a limited distribution specialty pharmacy model, which we believe provided patients with a consistent, positive experience at the time of treatment initiation and long-term assistance to the extent needed.</w:t>
      </w:r>
    </w:p>
    <w:p>
      <w:pPr>
        <w:spacing w:after="0" w:line="141" w:lineRule="exact"/>
        <w:rPr>
          <w:sz w:val="20"/>
          <w:szCs w:val="20"/>
          <w:color w:val="auto"/>
        </w:rPr>
      </w:pPr>
    </w:p>
    <w:p>
      <w:pPr>
        <w:jc w:val="both"/>
        <w:ind w:right="520" w:firstLine="509"/>
        <w:spacing w:after="0" w:line="265" w:lineRule="auto"/>
        <w:rPr>
          <w:sz w:val="20"/>
          <w:szCs w:val="20"/>
          <w:color w:val="auto"/>
        </w:rPr>
      </w:pPr>
      <w:r>
        <w:rPr>
          <w:rFonts w:ascii="Times New Roman" w:cs="Times New Roman" w:eastAsia="Times New Roman" w:hAnsi="Times New Roman"/>
          <w:sz w:val="18"/>
          <w:szCs w:val="18"/>
          <w:color w:val="auto"/>
        </w:rPr>
        <w:t>We also have Apellis Assist, a patient-focused program specifically designed to assist patients with onboarding, product training and ongoing support with pegcetacoplan treatment, and we have built a care educator team to connect directly with PNH patients and their caregivers to provide education and training on the use of pegcetacoplan.</w:t>
      </w:r>
    </w:p>
    <w:p>
      <w:pPr>
        <w:spacing w:after="0" w:line="150"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Our medical affairs team is engaging with physicians through our presence at medical meetings and other in-person engagements. In December 2023, we participated in the American Hematology Society, or ASH, annual meeting. Sobi will conduct medical affairs activities for systemic pegcetacoplan outside the United States.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188"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We believe that systemic pegcetacoplan is a best-in-class therapy for PNH, differentiated by mechanism, and that it has the potential to significantly increase the quality of life of patients with PNH as compared to the current standard of care.</w:t>
      </w:r>
    </w:p>
    <w:p>
      <w:pPr>
        <w:spacing w:after="0" w:line="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3 Clinical Trial - PEGASUS</w:t>
      </w:r>
    </w:p>
    <w:p>
      <w:pPr>
        <w:spacing w:after="0" w:line="186"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We initiated the Phase 3 PEGASUS trial in patients in June 2018. The PEGASUS trial was an 80-patient randomized head-to-head trial comparing systemic pegcetacoplan monotherapy to eculizumab monotherapy in patients with PNH currently on treatment with eculizumab who have a hemoglobin level of less than 10.5 g/dL, regarding of eculizumab dose or transfusion history. The primary efficacy endpoint of the trial was the change in hemoglobin level from baseline at week 16.</w:t>
      </w:r>
    </w:p>
    <w:p>
      <w:pPr>
        <w:spacing w:after="0" w:line="15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treatment period of the trial consisted of three parts: a four-week run-in period, a 16-week randomized treatment period and a 32-week open-label pegcetacoplan only period. During the run-in period, all patients received twice-weekly subcutaneous doses of 1,080 mg of pegcetacoplan in addition to patients’ then current dose of eculizumab. The run-in period was designed to provide patients with sufficient plasma concentration of pegcetacoplan to provide for what we expected to be adequate complement inhibition before withdrawing eculizumab. Following completion of the run-in period, patients received either 1,080 mg of pegcetacoplan twice per week or their current dose of eculizumab through the duration of the 16-week randomized treatment period. Following completion of the randomized treatment period with either pegcetacoplan monotherapy or eculizumab monotherapy, all 80 patients had the option to receive pegcetacoplan monotherapy for 32 weeks in an open-label treatment period.</w:t>
      </w:r>
    </w:p>
    <w:p>
      <w:pPr>
        <w:spacing w:after="0" w:line="14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January 2020, we announced top-line data from the PEGASUS trial that showed that systemic pegcetacoplan met the primary efficacy endpoint, demonstrating superiority to eculizumab with a statistically significant improvement in adjusted means of 3.8 g/dL of hemoglobin at week 16 (p &lt; 0.0001). At week 16, pegcetacoplan-treated patients (n = 41) had an adjusted mean hemoglobin increase of 2.4 g/dL from a baseline of 8.7 g/dL, compared to eculizumab-treated patients (n = 39) who had a change of -1.5 g/dL from a baseline of 8.7 g/dL. Additionally, pegcetacoplan showed promising results in key secondary endpoints. Pegcetacoplan met non-inferiority on transfusion avoidance and absolute reticulocyte count. Pegcetacoplan did not meet pre-specified criteria for non-inferiority on mean LDH levels. Pegcetacoplan showed positive trends on LDH and fatigue as measured by the FACIT-fatigue score. The statistical analysis plan for the PEGASUS trial provided for use of the mixed model—repeated measures (MMRM) method. To avoid the effect of transfusions in hemoglobin levels during the 16-week randomization period of the trial, if a patient received a transfusion during the 16-week randomization period, any measurements after the first transfusion were censored from the data used in the MMRM analysis. The treatment effects using observed data from the trial, which included all post-transfusion measurements, were consistent with and supportive of the reported results from the MMRM analysis.</w:t>
      </w:r>
    </w:p>
    <w:p>
      <w:pPr>
        <w:spacing w:after="0" w:line="148"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All patients who completed the 16-week randomization period in both groups (77/80) entered the 32-week open-label pegcetacoplan treatment period. At week 48, patients treated with pegcetacoplan during the 16-week randomization period and through the 32-week open-label period sustained increases in hemoglobin levels, with a mean improvement from baseline of 2.7 g/dL, equal to the 2.7 g/dL mean increase seen at week 16 in the same patients. Additionally, patients treated with eculizumab in the randomized period who switched to pegcetacoplan during the open-label period experienced sustained improvements in hemoglobin and other hematological and clinical measures, similar to patients treated with pegcetacoplan monotherapy during the randomized controlled period. In addition to a sustained improvement in hemoglobin, the pegcetacoplan-treated patients group maintained improvements across key secondary endpoints. Throughout the 48-week study, 73% of patients treated with pegcetacoplan during the randomized period remained transfusion free. For comparison, 25% of patients were transfusion free over the year prior to entering the PEGASUS study while on treatment with eculizumab. Improvements across additional markers of disease, such as reticulocyte count, lactate dehydrogenase, or LDH, levels, and the FACIT-fatigue scores, were observed in both groups at week 48 after 32 weeks of open-label treatment with pegcetacoplan.</w:t>
      </w:r>
    </w:p>
    <w:p>
      <w:pPr>
        <w:spacing w:after="0" w:line="157"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In the PEGASUS trial, the safety profile of systemic pegcetacoplan was comparable to eculizumab and consistent with previously reported data. After the 48-week study period, 24 of 80 pegcetacoplan monotherapy-treated patients (30%) experienced a serious adverse event, or SAE. Five of the SAEs (6%) were assessed to be possibly related to study treatment. No cases of meningitis were reported. One death was reported due to COVID-19 and was unrelated to study treatment. The most common adverse events (AEs) reported throughout the study were injection site reactions (36%), hemolysis (24%), and diarrhea (21%). Twelve out of 80 patients (15%) discontinued due to adverse events, with five discontinuations due to hemolysis. Sixty-four of the 67 patients (96%) who completed the open-label period opted to enter the extension study.</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Phase 3 Clinical Trial – PRINCE</w:t>
      </w:r>
    </w:p>
    <w:p>
      <w:pPr>
        <w:spacing w:after="0" w:line="1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initiated the Phase 3 PRINCE trial in September 2019. The PRINCE trial was a 54-patient randomized, multicenter, open-label trial to evaluate the efficacy of systemic pegcetacoplan in treatment-naïve PNH patients. The primary endpoints were avoidance of a greater than 1 g/dL decrease in hemoglobin level from baseline in the absence of transfusion through week 26 and reduction in LDH level from baseline to week 26, in patients with PNH who are currently not being treated with complement inhibitors. Secondary endpoints included hemoglobin response (defined as an increase in hemoglobin levels greater than or equal to 1 g/dL), change in absolute reticulocyte count, change in hemoglobin levels, number of packed red blood cells transfused, change in FACIT score, hemoglobin normalization and LDH normalization.</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May 2021, we reported top-line results from PRINCE demonstrating statistical superiority on the co-primary endpoints of hemoglobin stabilization and reduction in LDH compared to standard of care, which did not include complement inhibitors, at week 26. Specifically, 86% of EMPAVELI-treated patients achieved hemoglobin stabilization compared to 0% of patients on standard of care (p&lt;0.0001). Hemoglobin stabilization was defined as an avoidance of a &gt;1 g/dL decrease in hemoglobin levels in the absence of transfusions. Additionally, mean LDH in the EMPAVELI group decreased by 90% from a baseline of 2151 U/L, which is 9.5 times the upper limit of normal (ULN), to 211 U/L, which is within the normal range, compared to a 14% reduction on standard of care from a baseline of 1946 U/L to 1681 U/L (p&lt;0.0001).</w:t>
      </w:r>
    </w:p>
    <w:p>
      <w:pPr>
        <w:spacing w:after="0" w:line="15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EMPAVELI also achieved statistical superiority on several secondary endpoints, including improvements in hemoglobin levels and transfusion avoidance, compared to standard of care, which did not include complement inhibitors. Mean hemoglobin levels in the EMPAVELI group increased from 9.4 g/dL to 12.1 g/dL compared to an increase from a baseline of 8.7 g/dL to 9.4 g/dL on standard of care (p=0.0019). Further, 91% of patients on EMPAVELI avoided transfusions compared to 6% on standard of care (p&lt;0.0001).</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Long-Term Extension Study</w:t>
      </w:r>
    </w:p>
    <w:p>
      <w:pPr>
        <w:spacing w:after="0" w:line="186"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111111"/>
        </w:rPr>
        <w:t xml:space="preserve">We are conducting a long-term extension study of </w:t>
      </w:r>
      <w:r>
        <w:rPr>
          <w:rFonts w:ascii="Times New Roman" w:cs="Times New Roman" w:eastAsia="Times New Roman" w:hAnsi="Times New Roman"/>
          <w:sz w:val="18"/>
          <w:szCs w:val="18"/>
          <w:color w:val="000000"/>
        </w:rPr>
        <w:t>systemic pegcetacoplan</w:t>
      </w:r>
      <w:r>
        <w:rPr>
          <w:rFonts w:ascii="Times New Roman" w:cs="Times New Roman" w:eastAsia="Times New Roman" w:hAnsi="Times New Roman"/>
          <w:sz w:val="18"/>
          <w:szCs w:val="18"/>
          <w:color w:val="111111"/>
        </w:rPr>
        <w:t xml:space="preserve"> in patients with PNH who participated in previous clinical trials with </w:t>
      </w:r>
      <w:r>
        <w:rPr>
          <w:rFonts w:ascii="Times New Roman" w:cs="Times New Roman" w:eastAsia="Times New Roman" w:hAnsi="Times New Roman"/>
          <w:sz w:val="18"/>
          <w:szCs w:val="18"/>
          <w:color w:val="000000"/>
        </w:rPr>
        <w:t>pegcetacoplan</w:t>
      </w:r>
      <w:r>
        <w:rPr>
          <w:rFonts w:ascii="Times New Roman" w:cs="Times New Roman" w:eastAsia="Times New Roman" w:hAnsi="Times New Roman"/>
          <w:sz w:val="18"/>
          <w:szCs w:val="18"/>
          <w:color w:val="111111"/>
        </w:rPr>
        <w:t>. This study</w:t>
      </w:r>
      <w:r>
        <w:rPr>
          <w:rFonts w:ascii="Times New Roman" w:cs="Times New Roman" w:eastAsia="Times New Roman" w:hAnsi="Times New Roman"/>
          <w:sz w:val="18"/>
          <w:szCs w:val="18"/>
          <w:color w:val="000000"/>
        </w:rPr>
        <w:t xml:space="preserve"> is an open label, non-randomized, multi-center study to evaluate the long-term safety and efficacy of pegcetacoplan in the treatment of PNH with dosing for a longer period and at doses of 1,080 mg given either twice a week or every three days.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18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 xml:space="preserve">In all trials of pegcetacoplan administered systemically by subcutaneous injection, we have monitored the safety of our targeting of C3 closely. Individuals who lack functional levels of C3 or C5 have been shown to be susceptible to infection by certain bacterial species, including </w:t>
      </w:r>
      <w:r>
        <w:rPr>
          <w:rFonts w:ascii="Times New Roman" w:cs="Times New Roman" w:eastAsia="Times New Roman" w:hAnsi="Times New Roman"/>
          <w:sz w:val="18"/>
          <w:szCs w:val="18"/>
          <w:i w:val="1"/>
          <w:iCs w:val="1"/>
          <w:color w:val="auto"/>
        </w:rPr>
        <w:t>Neisseria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meningitidis </w:t>
      </w:r>
      <w:r>
        <w:rPr>
          <w:rFonts w:ascii="Times New Roman" w:cs="Times New Roman" w:eastAsia="Times New Roman" w:hAnsi="Times New Roman"/>
          <w:sz w:val="18"/>
          <w:szCs w:val="18"/>
          <w:color w:val="auto"/>
        </w:rPr>
        <w:t>in C5-deficient individuals and</w:t>
      </w:r>
      <w:r>
        <w:rPr>
          <w:rFonts w:ascii="Times New Roman" w:cs="Times New Roman" w:eastAsia="Times New Roman" w:hAnsi="Times New Roman"/>
          <w:sz w:val="18"/>
          <w:szCs w:val="18"/>
          <w:i w:val="1"/>
          <w:iCs w:val="1"/>
          <w:color w:val="auto"/>
        </w:rPr>
        <w:t xml:space="preserve"> Neisseria meningitidis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Streptococcus pneumoniae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Haemophilus influenzae </w:t>
      </w:r>
      <w:r>
        <w:rPr>
          <w:rFonts w:ascii="Times New Roman" w:cs="Times New Roman" w:eastAsia="Times New Roman" w:hAnsi="Times New Roman"/>
          <w:sz w:val="18"/>
          <w:szCs w:val="18"/>
          <w:color w:val="auto"/>
        </w:rPr>
        <w:t>in C3-deficient individuals.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we vaccinate patients in these trials against these three pathogens, which we believe minimizes the risk of infection.</w:t>
      </w:r>
    </w:p>
    <w:p>
      <w:pPr>
        <w:spacing w:after="0" w:line="155"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As of November 13, 2023, systemic pegcetacoplan had approximately 818 patient-years of exposure in the clinical trial setting, and, since commercial launch in May 2021, approximately 626 patient-years of exposure in the post-marketing setting. No unexpected safety concerns have been observed in any of these patients.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C3 Glomerulopathy (C3G) and Immune Complex Membranoproliferative Glomerulonephritis (IC-MPGN)</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C3G and IC-MPGN are rare, debilitating kidney diseases that affect approximately 5,000 people in the United States. There are no approved therapies for the diseases, and symptoms include blood in the urine, dark foamy urine due to the presence of protein, swelling, and high blood pressure. Approximately 50% of people living with C3G and IC-MPGN ultimately suffer kidney failure within five to 10 years of diagnosis. Although IC-MPGN is considered a distinct disease from C3G, the underlying cause and progression of the two diseases are remarkably similar and include overactivation of the complement cascade, with excessive accumulation of C3 breakdown products in the kidney causing inflammation and damage to the organ. There are no medicines currently approved for C3G or IC-MPGN. Pegcetacoplan is designed to prevent C3 activation, and as such, we believe it has the potential to prevent further deposition of C3 activation products in the glomeruli, which may protect the kidney from further injury. In December 2018, systemic pegcetacoplan received orphan drug designation from the FDA for the treatment of C3G.</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111111"/>
        </w:rPr>
        <w:t xml:space="preserve">In February 2018, we initiated DISCOVERY, a Phase 2 clinical trial of </w:t>
      </w:r>
      <w:r>
        <w:rPr>
          <w:rFonts w:ascii="Times New Roman" w:cs="Times New Roman" w:eastAsia="Times New Roman" w:hAnsi="Times New Roman"/>
          <w:sz w:val="18"/>
          <w:szCs w:val="18"/>
          <w:color w:val="000000"/>
        </w:rPr>
        <w:t>systemic pegcetacoplan</w:t>
      </w:r>
      <w:r>
        <w:rPr>
          <w:rFonts w:ascii="Times New Roman" w:cs="Times New Roman" w:eastAsia="Times New Roman" w:hAnsi="Times New Roman"/>
          <w:sz w:val="18"/>
          <w:szCs w:val="18"/>
          <w:color w:val="111111"/>
        </w:rPr>
        <w:t xml:space="preserve"> in biopsy-proven C3G and other glomerular diseases in which complement has been implicated, including IgA nephropathy, primary membranous nephropathy and lupus nephritis, </w:t>
      </w:r>
      <w:r>
        <w:rPr>
          <w:rFonts w:ascii="Times New Roman" w:cs="Times New Roman" w:eastAsia="Times New Roman" w:hAnsi="Times New Roman"/>
          <w:sz w:val="18"/>
          <w:szCs w:val="18"/>
          <w:color w:val="000000"/>
        </w:rPr>
        <w:t>to evaluate the safety and</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biologic activity of pegcetacoplan in patients with these glomerular diseases. Initially each patient received once daily subcutaneous infusions of up to 360 mg of pegcetacoplan for one year, but patients could elect to receive twice weekly subcutaneous infusions of 1080 mg after week 24. The primary efficacy endpoint was the reduction in proteinuria, an important market of kidney damage, from baseline to week 48 as quantified by protein-to-creatinine ratio, or uPCR. Based on the scientific literature as well as the underlying pathophysiology of the disease, we believe that a substantial change in proteinuria is reasonably likely to predict a clinical benefit in all four glomerular diseases. Secondary endpoints included analysis of serum C3 and estimated glomerular filtration rate.</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October 2020, we reported data from the DISCOVERY trial in five C3G patients treated with systemic pegcetacoplan for 48 weeks. In those patients, mean (SE) proteinuria decreased from 3.48 (0.82) mg/mg at baseline to 0.93 (0.27) mg/mg at week 48, a decrease of 73.3%, as measured by 24-hour uPCR. Importantly, this reduction in proteinuria was accompanied by a corresponding increase in mean serum albumin. Since albumin is the most abundant protein in serum, its level increases when urinary protein losses are reduced. Other biomarkers improved, including an observed increase in mean serum C3 and stabilization of renal function, as measured by mean serum creatinine. No serious or severe adverse events were reported, and pegcetacoplan was well tolerated overall.</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we initiated a Phase 2 trial in C3G and IC-MPGN with our NOBLE trial, a randomized, controlled trial in 12 patients with post-transplant disease recurrence that focused on the histopathology of the kidneys. Trial participants were randomized in a 3:1 ratio to receive pegcetacoplan or maintain standard of care for 12 weeks and then all patients in the study received pegcetacoplan from week 13 to week 52. The primary endpoint of the study was the proportion of patients with reduction in C3c staining on renal biopsy after 12 weeks of treatment with pegcetacoplan. Secondary endpoints included an evaluation of safety, the proportion of patients with reduction in C3c staining on renal biopsy after 52 weeks of treatment, and the proportion of patients achieving at least a 50% reduction in proteinuria.</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October 2023, we announced positive results from NOBLE showing the potential for a treatment effect in both IC-MPGN and C3G patients treated with pegcetacoplan. Specifically, at 12 weeks, 80% of patients showed a reduction in C3c staining by one or more orders of magnitude of intensity from baseline and 40% of patients showed zero staining intensity, indicating that C3c deposits were cleared. Patients also showed improvements across key clinical measures, including a mean reduction in proteinuria, and stabilized kidney function. There were no discontinuations due to treatment-emergent adverse events.</w:t>
      </w:r>
    </w:p>
    <w:p>
      <w:pPr>
        <w:spacing w:after="0" w:line="182"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In the second quarter of 2022, we initiated the pivotal Phase 3 VALIANT trial. VALIANT is a randomized, placebo-controlled, double-blinded, multi-center Phase 3 trial being conducted in 124 patients who are 12 years of age and older with primary IC-MPGN or C3G. The primary endpoint of the trial is the change in proteinuria at week 26 versus baseline. Secondary endpoints included change in kidney function, reduction in C3 staining and patient reported measures. We plan to report top-line data from VALIANT in mid-2024.</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Hematopoietic Stem Cell Transplantation Thrombotic Microangiopathy</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Hematopoietic stem cell transplantation thrombotic microangiopathy, or HSCT-TMA, is rare blood disease that can be a fatal complication of a bone marrow transplant or HSCT. In HSCT-TMA, microscopic blood clots form in small blood vessels, leading to organ damage. The kidneys are commonly affected, although any organ may be involved. HSCT-TMA occurs in up to 40% of HSCT recipients; every year, there are approximately 9,000 allogeneic transplants in the United States. Excessive complement activation is a high-risk feature in patients with HSCT-TMA, and C3 is believed to play a critical role in TMA based on proinflammatory and procoagulant properties of C3a and C3b.</w:t>
      </w:r>
    </w:p>
    <w:p>
      <w:pPr>
        <w:spacing w:after="0" w:line="142"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In early 2022, Sobi dosed the first patient in the Phase 2 clinical trial of systemic pegcetacoplan in patients with HSCT-TMA. The Phase 2 trial is an open label, single arm, multicenter trial evaluating the pharmacokinetics, efficacy and safety and tolerability of pegcetacoplan in approximately 12 patients with HSCT-TMA.</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Adeno-associated virus, or AAV, Vector Administration for Gene Therapies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evaluating the administration of systemic pegcetacoplan as an approach to enabling AAV vector administration for gene therapies. We believe complement inhibition may yield important benefits when used in combination with AAV-delivered gene therapies, such as increasing the safety of AAV-delivered gene therapies, decreasing the required AAV dose needed to achieve a therapeutic effect, and allowing for dosing in patients who have pre-existing antibodies. In collaboration with commercial and academic researchers, we are advancing pre-clinical studies to assess the impact of complement inhibition on AAV-delivered gene therapies.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188" w:lineRule="exact"/>
        <w:rPr>
          <w:sz w:val="20"/>
          <w:szCs w:val="20"/>
          <w:color w:val="auto"/>
        </w:rPr>
      </w:pPr>
    </w:p>
    <w:p>
      <w:pPr>
        <w:ind w:right="420" w:firstLine="509"/>
        <w:spacing w:after="0" w:line="265" w:lineRule="auto"/>
        <w:rPr>
          <w:sz w:val="20"/>
          <w:szCs w:val="20"/>
          <w:color w:val="auto"/>
        </w:rPr>
      </w:pPr>
      <w:r>
        <w:rPr>
          <w:rFonts w:ascii="Times New Roman" w:cs="Times New Roman" w:eastAsia="Times New Roman" w:hAnsi="Times New Roman"/>
          <w:sz w:val="18"/>
          <w:szCs w:val="18"/>
          <w:color w:val="auto"/>
        </w:rPr>
        <w:t>In June 2021, we entered into an exclusive five-year research collaboration with Beam focused on the use of Beam’s proprietary base editing technology to discover new treatments for complement-driven diseases. Under the collaboration agreement, we are collaborating on up to six research programs focused on C3 and other complement targets in the eye, liver and brain.</w:t>
      </w:r>
    </w:p>
    <w:p>
      <w:pPr>
        <w:spacing w:after="0" w:line="150"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We began a Phase 1 dose escalation clinical trial for APL-3007, a siRNA therapy, in healthy volunteers in June 2023 and expect topline data from this study in 2024. We are also advancing an oral complement inhibitor which is in preclinical development.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Sobi</w:t>
      </w:r>
    </w:p>
    <w:p>
      <w:pPr>
        <w:spacing w:after="0" w:line="18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 October 27, 2020, we and our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Under the Sobi collaboration agreement, we granted Sobi an exclusive (subject to certain retained rights of the Company), sublicensable license of certain patent rights and know-how to develop and commercialize Licensed Products in all countries outside of the United States.</w:t>
      </w:r>
    </w:p>
    <w:p>
      <w:pPr>
        <w:spacing w:after="0" w:line="140"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We retain the right to commercialize Licensed Products in the United States, and, subject to specified limitations, to develop Licensed Products worldwide for commercialization in the United States.</w:t>
      </w:r>
    </w:p>
    <w:p>
      <w:pPr>
        <w:spacing w:after="0" w:line="13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Sobi collaboration agreement, we and Sobi originally agreed to collaborate to develop Licensed Products for the treatment of PNH, CAD, HSCT-TMA, C3G, and IC-MPGN, and any other indications subsequently agreed upon by the parties, for commercialization by or on behalf of us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 In January 2024, we and Sobi agreed to discontinue the CAD program.</w:t>
      </w:r>
    </w:p>
    <w:p>
      <w:pPr>
        <w:spacing w:after="0" w:line="14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development plan sets forth the development activities to be conducted by each of us and Sobi, with us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We and Sobi have formed several governance committees to oversee the development and manufacture, and to review and discuss the commercialization, of Licensed Products.</w:t>
      </w:r>
    </w:p>
    <w:p>
      <w:pPr>
        <w:spacing w:after="0" w:line="14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agreed to supply Licensed Products to Sobi for development and for commercialization outside of the United States in accordance with a supply agreement to be negotiated by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15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Sobi paid us an upfront payment of $250.0 million in November 2020 and has agreed to pay up to an aggregate of $915.0 million upon the achievement of specified one-time regulatory and commercial milestone events, of which we received $50.0 million in April 2022 for the achievement of a regulatory development milestone in Europe and $5.0 million in October 2023 for the achievement of a regulatory development milestone in Japan. Sobi also agreed to reimburse us for up to $80.0 million in development costs, of which we received $25.0 million in January 2021, $20.0 million in January 2022 and $20.0 million in January 2023. In January 2024 we waived the remaining reimbursement payment of $15.0 million in connection with the decision to discontinue the CAD program.</w:t>
      </w:r>
    </w:p>
    <w:p>
      <w:pPr>
        <w:spacing w:after="0" w:line="14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are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received $10.0 million in royalties from Sobi during the year ended December 31, 2023. Under the Sobi collaboration agreement, we remain responsible for our license fee obligations (including royalty obligations) to the Trustees of the University of Pennsylvania (“Penn”), as a licensor of Apellis and for its payment obligations to SFJ.</w:t>
      </w:r>
    </w:p>
    <w:p>
      <w:pPr>
        <w:spacing w:after="0" w:line="14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the agreement will expire upon the expiration of the last royalty term for the last Licensed Product outside of the United States. The agreement may be terminated in its entirety by Sobi upon 90 days’ prior written notice at any time. Either party may, subject to specified cure periods, terminate the agreement in its entirety in the event of the other party’s uncured material breach. In addition, we may, subject to specified cure periods, terminate the agreement in any of China, Japan, Brazil, or Canada if Sobi materially breaches its obligation to use commercially reasonable efforts to develop, obtain regulatory approval for, and commercialize a Licensed Product for PNH and ALS in such country. Either party may also terminate the agreement under specified circumstances relating to the other party’s insolvency. We may terminate the agreement in the event Sobi or its specified affiliates or sublicensees challenges the validity, scope or enforceability of the licensed patent rights under specified circumstances.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Collaboration with Beam</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June 2021, we entered into an exclusive five-year research collaboration (the “Beam collaboration agreement”) with Beam focused on the use of Beam’s proprietary base editing technology to discover new treatments for complement-driven diseases. We and Beam agreed to collaborate on up to six research programs focused on C3 and other complement targets in the eye, liver and brain. Under the terms of the Beam collaboration agreement, we are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 party any base editing therapies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associated with the items on the Target List but does not prevent Beam from licensing its intellectual property to a third-party for another purpose outside of the Target List. We will have exclusive rights to license each of the six programs and will assume responsibility for subsequent development and commercialization. Beam may elect to enter a 50-50 co-development and U.S. co-commercialization agreement with us with respect to any one program licensed under the Beam collaboration agreement and upon such election any license agreement in place at that time, would be terminated.</w:t>
      </w:r>
    </w:p>
    <w:p>
      <w:pPr>
        <w:spacing w:after="0" w:line="1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the Beam collaboration agreement, we paid $50.0 million up-front, non-refundable payment to Beam in July 2021. In June 2022, we paid $25.0 million, which was recorded as a cost of research collaboration expense for the year ended December 31, 2021, as it was considered probable of achievement. We and Beam are each responsible for their own costs during the research collaboration. If and after the opt-in license rights are exercised for each of the up to six programs, Beam will be eligible to receive development, regulatory and sales milestones from us, as well as royalty payments on sales. The Beam collaboration agreement has an initial term of five years and may be extended up to two years on a per year program-by-program basis.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8" w:lineRule="exact"/>
        <w:rPr>
          <w:sz w:val="20"/>
          <w:szCs w:val="20"/>
          <w:color w:val="auto"/>
        </w:rPr>
      </w:pPr>
    </w:p>
    <w:p>
      <w:pPr>
        <w:ind w:right="140" w:firstLine="509"/>
        <w:spacing w:after="0" w:line="276" w:lineRule="auto"/>
        <w:rPr>
          <w:sz w:val="20"/>
          <w:szCs w:val="20"/>
          <w:color w:val="auto"/>
        </w:rPr>
      </w:pPr>
      <w:r>
        <w:rPr>
          <w:rFonts w:ascii="Times New Roman" w:cs="Times New Roman" w:eastAsia="Times New Roman" w:hAnsi="Times New Roman"/>
          <w:sz w:val="17"/>
          <w:szCs w:val="17"/>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w:t>
      </w:r>
    </w:p>
    <w:p>
      <w:pPr>
        <w:spacing w:after="0" w:line="143"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we own a total of 24 U.S. patents, 25 pending U.S. patent applications, including original filings, continuations, and divisional applications, as well as numerous foreign counterparts of many of these patents and patent applications.</w:t>
      </w:r>
    </w:p>
    <w:p>
      <w:pPr>
        <w:spacing w:after="0" w:line="122"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Pegcetacoplan is an analog of the cyclic peptide compstatin, based on technologies that we have developed internally or have exclusively licensed from Penn.</w:t>
      </w:r>
    </w:p>
    <w:p>
      <w:pPr>
        <w:spacing w:after="0" w:line="12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patents and patent applications include families of United States and foreign patent and patent applications relating, for example, to the composition of matter of certain compstatin analogs with a prolonged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half-life, including pegcetacoplan, and/or to methods of treatment and dosing regimens for treating particular complement-dependent diseases. Patents in these families would expire in 2032 or 2033. We have submitted applications for patent term extension for certain of these patents. Our patent applications also include families relating in part to particular doses and dosing regimens for intravitreally or subcutaneously administered pegcetacoplan that are granted or pending in the United States and a number of other jurisdictions. Patents in these families would expire between 2036 and 2038. Six of our U.S. patents are listed for EMPAVELI in the FDA’s Orange Book. Our filings also include certain U.S. and foreign patents and patent applications relating to methods of treating eye disorders associated with complement activation, which we acquired in the acquisition of the assets of Potentia Pharmaceuticals, Inc., or Potentia. These patent rights include issued U.S. patents with claims to methods of treating AMD by administration of compstatin analogs and a granted European patent with claims to a class of compstatin analogs for use in treatment of macular degeneration. These patents have terms that extend into 2026. Seven of our U.S. patents are listed for SYFOVRE in the FDA’s Orange Book. We also own a patent family relating in part to use of C3 inhibitors, including pegcetacoplan, to facilitate gene therapy with AAV vectors. Patents in this family would have terms extending into 2040. In addition, we own patent families relating to use of pegcetacoplan for the treatment of PNH or for the treatment of GA that have terms extending into 2041 through 2043.</w:t>
      </w:r>
    </w:p>
    <w:p>
      <w:pPr>
        <w:spacing w:after="0" w:line="1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technology that we developed internally relating to compstatin analogs, we hold exclusive licenses from Penn, including a license agreement with Penn that was assigned to us in connection with our acquisition of the Potentia’s assets in September 2015. The intellectual property in-licensed under our two license agreements with Penn includes four U.S. patents and numerous foreign counterparts, with claims granted in Europe, Japan and elsewhere. These licensed patent rights include issued patents with claims that recite a class of compounds generically covering pegcetacoplan, and that specifically recite the active component. These patents have terms that extend to 2026.</w:t>
      </w:r>
    </w:p>
    <w:p>
      <w:pPr>
        <w:spacing w:after="0" w:line="14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also own or have exclusive rights to a number of patent applications relating to additional modalities and molecules for inhibiting complement, including nucleic acid, small molecule, and protein-based approaches. The filings cover, for example, the composition of matter of certain of our product candidates and methods of use for treating particular complement-mediated disorders. Patents issuing based on these applications would have terms extending into 2041 through 2043.</w:t>
      </w:r>
    </w:p>
    <w:p>
      <w:pPr>
        <w:spacing w:after="0" w:line="141"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We have a non-exclusive license to intellectual property covering aspects of base editing technology, including CRISPR proteins and base editors, for use in the context of our collaboration with Beam, and have an exclusive license from Beam to this intellectual property to the extent it specifically covers therapeutic candidates developed under the collaboration.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foreign jurisdictions to extend the term of a patent that covers an approved drug. In the future, if and when our product candidates, including pegcetacoplan, receive approval by the FDA or foreign regulatory authorities, we expect to apply for patent term extensions on issued patents covering those products, depending upon the length of the clinical trials for each drug and other factors. Expiration dates referred to above are without regard to potential patent term adjustment or extension or other market exclusivity that may be available to us.</w:t>
      </w:r>
    </w:p>
    <w:p>
      <w:pPr>
        <w:spacing w:after="0" w:line="14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granted worldwide rights to use and license the intellectual property that we hold with respect to pegcetacoplan to our wholly owned subsidiaries, APL DEL Holdings, LLC and Apellis International GmbH (f/k/a Apellis Switzerland GmbH). Certain of our wholly owned subsidiaries hold rights to use our intellectual property to manage our clinical trials in certain jurisdictions or territories and exclusive rights to distribute our product with respect to specific indications within certain jurisdictions or territories. We granted Sobi an exclusive (subject to certain retained rights), sublicensable license of certain patent rights and know-how to develop and commercialize pegcetacoplan for non-ophthalmological indications in all countries outside of the United States.</w:t>
      </w:r>
    </w:p>
    <w:p>
      <w:pPr>
        <w:spacing w:after="0" w:line="145"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 with The Trustees of the University of Pennsylvania (Non-ophthalmic Fields of Use)</w:t>
      </w:r>
    </w:p>
    <w:p>
      <w:pPr>
        <w:spacing w:after="0" w:line="202"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In March 2008, Apellis AG entered into an agreement with Penn for an exclusive worldwide license, under specified patent rights controlled by Penn, to develop and commercialize products covered by the licensed patent rights for all fields except the treatment of ophthalmic indications. This license was assigned to us in 2010 in connection with our acquisition of Apellis AG, and we have the right to grant sublicenses under this license.</w:t>
      </w:r>
    </w:p>
    <w:p>
      <w:pPr>
        <w:spacing w:after="0" w:line="137"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The patent rights licensed to us by Penn include patents with claims that recite a class of compounds generically covering pegcetacoplan, and specifically recite the active component. Three of these patents are listed for EMPAVELI in the FDA’s Orange Book.</w:t>
      </w:r>
    </w:p>
    <w:p>
      <w:pPr>
        <w:spacing w:after="0" w:line="12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the license agreement, we are obligated to make a $0.1 million annual license maintenance payment to Penn until the first commercial sale of a licensed product, some of which may become creditable against milestone payments under specified circumstances. We may also become obligated to make payments to Penn aggregating up to $1.7 million, based on achieving specified development and regulatory approval milestones and up to $2.5 million based on achieving specified annual sales milestones with respect to each of the first two licensed products,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59"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color w:val="auto"/>
        </w:rPr>
        <w:t>Our royalty obligation with respect to each licensed product in a country extends until the later of the expiration of the last-to-expire patent licensed from Penn covering the licensed product in the country or the expiration of a specified number of years after the first commercial sale of the licensed product in the country. As of December 31, 2023, we have incurred an aggregate royalty expense of $7.9 million on sales of EMPAVELI and Aspaveli.</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the right to grant sublicenses under the license.</w:t>
      </w:r>
    </w:p>
    <w:p>
      <w:pPr>
        <w:spacing w:after="0" w:line="184"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2021, we paid $25.0 million for a sublicense fee owed to Penn related to the Sobi collaboration agreement and another licensing transaction. In August 2021, we paid $1.0 million to Penn upon the achievement of a development milestone, net of a credit for the annual license maintenance payment. In June 2022, we paid an additional $5.0 million to Penn upon the achievement of a development milestone. In January 2023, we paid $1.0 million to Penn upon the achievement of a sales milestone for EMPAVELI in 2022. As December 31, 2023, we recorded in accrued expenses $0.5 million for a sublicense fee owed to Penn related to Sobi obtaining regulatory approval in Japan. Additionally, as of December 31, 2023, we recorded $1.5 million in accrued expenses as a result of the achievement of a sales milestone for EMPAVELI and Aspaveli.</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Patent License Agreement with The Trustees of the University of Pennsylvania (Ophthalmic Field of Use)</w:t>
      </w:r>
    </w:p>
    <w:p>
      <w:pPr>
        <w:spacing w:after="0" w:line="18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At the same time that it entered into the agreement with Apellis AG, Penn licensed rights to the same portfolio of cases to Potentia, to develop and commercialize products covered by the licensed patent rights for the treatment of ophthalmic indications. In September 2015, Potentia assigned the license agreement between Potentia and Penn to us in connection with our acquisition of the assets of Potentia pursuant to an asset purchase agreement with Potentia. Three of the licensed patents are listed for SYFOVRE in the FDA’s orange book.</w:t>
      </w:r>
    </w:p>
    <w:p>
      <w:pPr>
        <w:spacing w:after="0" w:line="14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Upon Potentia’s assignment of the license to us, we became the licensee and are obligated to make a $0.1 million annual license maintenance payment to Penn until the first commercial sale of a licensed product. We also became obligated to make payments to Penn aggregating up to $3.2 million based on achieving specified development and regulatory approval milestones, including $2.3 million upon approval of an NDA, and up to $5.0 million based on achieving specified annual sales milestones with respect to each licensed product,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5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April 2023, we paid $2.3 million for the achievement of a regulatory milestone as a result of the FDA approval of SYFOVRE in February 2023. In the year ended December 31, 2023, we incurred $5.0 million as a result of the achievement of sales milestones for SYFOVRE of which we paid $2.0 million in October 2023 and the remaining $3.0 million was accrued as of December 31, 2023.</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have incurred an aggregate royalty expense of $8.9 million as a result of sales of SYFOVRE.</w:t>
      </w:r>
    </w:p>
    <w:p>
      <w:pPr>
        <w:spacing w:after="0" w:line="184"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Our royalty obligation with respect to each licensed product in a country will extend until the later of the expiration of the last-to-expire patent licensed from Penn covering the licensed product in the country or the tenth anniversary of the first commercial sale of the licensed product in the country.</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the right to grant sublicenses under the license.</w:t>
      </w:r>
    </w:p>
    <w:p>
      <w:pPr>
        <w:spacing w:after="0" w:line="184"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3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4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suppression by agents such as complement inhibitors and corticosteroids, as well as immune modulators, visual cycle modulators, anti-amyloid agents, antioxidants, neuroprotectants, cell and gene therapies and vascular and interstitial tissue remodeling agents.</w:t>
      </w:r>
    </w:p>
    <w:p>
      <w:pPr>
        <w:spacing w:after="0" w:line="136"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approved product competes, and if our product candidates are approved for the indications for which we are currently undertaking or planning clinical trials, they will compete, with the products and product candidates discussed below</w:t>
      </w:r>
    </w:p>
    <w:p>
      <w:pPr>
        <w:spacing w:after="0" w:line="11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 </w:t>
      </w:r>
      <w:r>
        <w:rPr>
          <w:rFonts w:ascii="Times New Roman" w:cs="Times New Roman" w:eastAsia="Times New Roman" w:hAnsi="Times New Roman"/>
          <w:sz w:val="18"/>
          <w:szCs w:val="18"/>
          <w:color w:val="auto"/>
        </w:rPr>
        <w:t>In August 2023, Astellas Pharma Inc. received FDA approval for avacincaptad pegol (marketed as Izervay), a C5 inhibitor, for the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 and is seeking approval from the EMA. We are aware of other companies that are actively developing product candidates for the treatment of GA, including the following product candidates that are in clinical development: ANX007, a C1q inhibitor being developed by Annexon Biosciences, Inc. and preparing to enter into Phase 3 clinical trials; pozelimab, an anti-C5 antibody developed by Regeneron Pharmaceuticals Inc. in combination with cemdisiran, an RNAi therapeutic targeting C5 developed by Alnylam Pharmaceuticals, Inc., is preparing to enter into Phase 3 clinical trials; IONIS-FB-LRX (RG6299), a complement factor B inhibitor being developed by Ionis (in collaboration with Roche/Genentech) in Phase 2 clinical trials; danicopan (ALXN2040), an orally administered factor D inhibitor being developed by AstraZeneca in Phase 2 clinical trials; JNJ1887 (formerly known as HMR59), an intravitreal gene therapy targeting CD59 being developed by The Janssen Pharmaceutical Companies of Johnson &amp; Johnson (after acquisition from Hemera Biosciences) in Phase 2 clinical trials; and other product candidates that do not target the complement system that are either in a single Phase 3 or in Phase 2 clinical trials, including but not limited to therapies being developed by Alkeus Pharmaceuticals, Inc., Stealth BioTherapeutics, Inc., Belite Bio, Inc., Lineage Cell Therapeutics, Inc. (in collaboration with Roche/Genentech), Aviceda Therapeutics, Inc., and Ocugen Inc. Novartis has initiated a Phase 2 trial of orally administered iptacopan (marketed as Fabhalta),, a factor B inhibitor, in patients with early or intermediate AMD.</w:t>
      </w:r>
    </w:p>
    <w:p>
      <w:pPr>
        <w:spacing w:after="0" w:line="146"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PNH. </w:t>
      </w:r>
      <w:r>
        <w:rPr>
          <w:rFonts w:ascii="Times New Roman" w:cs="Times New Roman" w:eastAsia="Times New Roman" w:hAnsi="Times New Roman"/>
          <w:sz w:val="18"/>
          <w:szCs w:val="18"/>
          <w:color w:val="auto"/>
        </w:rPr>
        <w:t>The principal competitors for EMPAVELI, and possibly other indications in our hematology and nephrology programs are eculizumab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(marketed as Soliris) and ravulizumab (marketed as Ultomiris), which are C5 inhibitors marketed by AstraZeneca. In December 2023, the FDA approved iptacopan, which is marketed by Novartis AG, or Novartis, for the treatment of adults with PNH. Iptacopan is an oral, Factor B inhibitor of the alternative complement pathway.</w:t>
      </w:r>
    </w:p>
    <w:p>
      <w:pPr>
        <w:spacing w:after="0" w:line="152"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We are aware of several other companies that are actively developing product candidates using complement inhibition for the treatment of PNH in late-stage clinical development, including: crovalimab, an anti-C5 antibody developed by Roche and Chugai Pharmaceutical Co., currently under regulatory review in the United States; pozelimab + cemdisiran is currently in Phase 3 clinical trials; and danicopan, a Factor D inhibitor being developed by AstraZeneca as an add-on treatment to eculizumab and ravulizumab, in Phase 3 clinical trials, as well as other products in early stages of development.</w:t>
      </w:r>
    </w:p>
    <w:p>
      <w:pPr>
        <w:spacing w:after="0" w:line="141"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Amgen Inc. is developing ABP959, a biosimilar for eculizumab that is in Phase 3 development. In August 2022, Amgen announced that a Phase 3 trial evaluating ABP959 met its primary endpoints. Other non-U.S. entities are developing biosimilars for eculizumab in local markets.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spacing w:after="0" w:line="137" w:lineRule="exact"/>
        <w:rPr>
          <w:sz w:val="20"/>
          <w:szCs w:val="20"/>
          <w:color w:val="auto"/>
        </w:rPr>
      </w:pPr>
    </w:p>
    <w:p>
      <w:pPr>
        <w:ind w:right="3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C3G. </w:t>
      </w:r>
      <w:r>
        <w:rPr>
          <w:rFonts w:ascii="Times New Roman" w:cs="Times New Roman" w:eastAsia="Times New Roman" w:hAnsi="Times New Roman"/>
          <w:sz w:val="18"/>
          <w:szCs w:val="18"/>
          <w:color w:val="auto"/>
        </w:rPr>
        <w:t>There are currently no approved drugs for C3 glomerulopathy. There are treatments in clinical development, including iptacopan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by Novartis, currently in Phase 3 clinical trials; OMS906, a MASP-3 inhibitor monoclonal antibody being developed by Omeros Corp., in a Phase 2 trial;; KP104, an anti C5-Factor H bifunctional protein being developed by Kira Pharmaceuticals, currently in a Phase 2 renal basket trial; and ARO-C3, an RNAi to reduce C3 production developed by Arrowhead Pharmaceuticals, currently in a Phase 1/2 renal basket trial.</w:t>
      </w:r>
    </w:p>
    <w:p>
      <w:pPr>
        <w:spacing w:after="0" w:line="148"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IC-MPGN. </w:t>
      </w:r>
      <w:r>
        <w:rPr>
          <w:rFonts w:ascii="Times New Roman" w:cs="Times New Roman" w:eastAsia="Times New Roman" w:hAnsi="Times New Roman"/>
          <w:sz w:val="18"/>
          <w:szCs w:val="18"/>
          <w:color w:val="auto"/>
        </w:rPr>
        <w:t>There are currently no approved drugs for IC-MPGN. There are potential treatments in clinical development, including iptacopan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by Novartis, currently in Phase 3 clinical trials, and OMS906, a MASP-3 inhibitor monoclonal antibody being developed by Omeros Corp., in a Phase 2 clinical trial.</w:t>
      </w:r>
    </w:p>
    <w:p>
      <w:pPr>
        <w:spacing w:after="0" w:line="129"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HSCT-TMA. </w:t>
      </w:r>
      <w:r>
        <w:rPr>
          <w:rFonts w:ascii="Times New Roman" w:cs="Times New Roman" w:eastAsia="Times New Roman" w:hAnsi="Times New Roman"/>
          <w:sz w:val="18"/>
          <w:szCs w:val="18"/>
          <w:color w:val="auto"/>
        </w:rPr>
        <w:t>Currently there are three treatments in late-stage clinical development: Ravulizumab, developed by AstraZeneca, nomacopan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by Akari, and narsoplimab, being developed by Omeros, are all in Phase 3 trials.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retain U.S. commercialization rights for systemic pegcetacoplan and worldwide commercialization rights for intravitreal pegcetacoplan. We are conducting commercialization efforts for EMPAVELI and SYFOVRE in the United States and plan to conduct commercial development for systemic pegcetacoplan in the United States if it is approved in other indications. Sobi has global co-development and exclusive ex-U.S. commercialization rights for systemic pegcetacoplan. We plan to conduct commercial development for intravitreal pegcetacoplan worldwide for GA. We have developed focused capabilities to commercialize development programs for certain indications where we believe that the medical specialists for the indications are sufficiently concentrated to allow us to effectively promote the product with a targeted sales team.</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For EMPAVELI and SYFOVRE we have defined our marketing, disease education, patient support and distribution strategies, identified primary and secondary payers representing a significant percentage of patients with PNH and GA, have built our field market access team and our sales team. Sobi is responsible for commercialization of systemic pegcetacoplan outside of the United States.</w:t>
      </w:r>
    </w:p>
    <w:p>
      <w:pPr>
        <w:spacing w:after="0" w:line="150"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For programs involving compounds other than pegcetacoplan, we plan to develop our own capabilities to commercialize our products worldwide.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8"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rely on third-party contract manufacturers to produce our products, we have recruited personnel with experience to manage the third-party contract manufacturers producing our products, product candidates and other product candidates that we may develop in the future.</w:t>
      </w:r>
    </w:p>
    <w:p>
      <w:pPr>
        <w:spacing w:after="0" w:line="137"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process for manufacturing our products and product candidates consists of chemical synthesis, purification using liquid chromatography, and freeze drying into solid form. The drug substance is then dissolved in solution and aliquoted into small vials for individual dosing. Each of these steps involves a relatively routine chemical engineering process. We believe the costs associated with manufacturing drug product for our products and product candidates is comparable to the current manufacturing costs for other similarly sized peptide-based components.</w:t>
      </w:r>
    </w:p>
    <w:p>
      <w:pPr>
        <w:spacing w:after="0" w:line="15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engaged a limited number of third-party manufacturers to provide all of our raw materials, drug substances and finished products for use in clinical trials and commercial sale. We have entered into a commercial supply agreement with Bachem Americas, Inc., or Bachem, agreeing to purchase a significant portion of our requirements for the pegcetacoplan drug substance, and a commercial supply agreement with NOF Corporation, or NOF, to purchase activated polyethylene glycol derivative, or PEG, which is a component of pegcetacoplan. We also have a separate supply agreement for the manufacture of the drug product for each of EMPAVELI and SYFOVRE.</w:t>
      </w:r>
    </w:p>
    <w:p>
      <w:pPr>
        <w:spacing w:after="0" w:line="14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raw materials, drug substances and finished products have been produced under master service contracts and specific work orders from these manufacturers pursuant to agreements that include specific supply timelines and volume and quality expectations. We choose the third-party manufacturers of the raw materials and drug substances based on the volume required and the regulatory requirements at the relevant stage of development. All lots of drug substances and finished products used in clinical trials and for commercial use are manufactured under current good manufacturing practices. Separate third-party manufacturers are for fill and finish services and for labeling and shipment of the final drug products to the clinical trial sites and for commercial use.</w:t>
      </w:r>
    </w:p>
    <w:p>
      <w:pPr>
        <w:spacing w:after="0" w:line="14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color w:val="111111"/>
        </w:rPr>
        <w:t>that our manufacturing arrangements are sufficient to supply pegcetacoplan at the scale and with the quality required for our ongoing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 xml:space="preserve">planned clinical trials, our commercialization efforts and our collaboration with Sobi. </w:t>
      </w:r>
      <w:r>
        <w:rPr>
          <w:rFonts w:ascii="Times New Roman" w:cs="Times New Roman" w:eastAsia="Times New Roman" w:hAnsi="Times New Roman"/>
          <w:sz w:val="18"/>
          <w:szCs w:val="18"/>
          <w:color w:val="000000"/>
        </w:rPr>
        <w:t>We continuously review our supply chain risk, including with respect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to our manufacturing footprint, and update and implement risk mitigation plans.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Commercial Supply Agreement with Bachem</w:t>
      </w:r>
    </w:p>
    <w:p>
      <w:pPr>
        <w:spacing w:after="0" w:line="202" w:lineRule="exact"/>
        <w:rPr>
          <w:sz w:val="20"/>
          <w:szCs w:val="20"/>
          <w:color w:val="auto"/>
        </w:rPr>
      </w:pPr>
    </w:p>
    <w:p>
      <w:pPr>
        <w:ind w:right="80" w:firstLine="562"/>
        <w:spacing w:after="0" w:line="281" w:lineRule="auto"/>
        <w:rPr>
          <w:sz w:val="20"/>
          <w:szCs w:val="20"/>
          <w:color w:val="auto"/>
        </w:rPr>
      </w:pPr>
      <w:r>
        <w:rPr>
          <w:rFonts w:ascii="Times New Roman" w:cs="Times New Roman" w:eastAsia="Times New Roman" w:hAnsi="Times New Roman"/>
          <w:sz w:val="18"/>
          <w:szCs w:val="18"/>
          <w:color w:val="auto"/>
        </w:rPr>
        <w:t>On December 30, 2020, we entered into a commercial supply agreement, or the Bachem Agreement, with Bachem to supply the drug substance for the finished dosage form of systemic pegcetacoplan and intravitreal pegcetacoplan.</w:t>
      </w:r>
    </w:p>
    <w:p>
      <w:pPr>
        <w:spacing w:after="0" w:line="122" w:lineRule="exact"/>
        <w:rPr>
          <w:sz w:val="20"/>
          <w:szCs w:val="20"/>
          <w:color w:val="auto"/>
        </w:rPr>
      </w:pPr>
    </w:p>
    <w:p>
      <w:pPr>
        <w:ind w:firstLine="562"/>
        <w:spacing w:after="0" w:line="265" w:lineRule="auto"/>
        <w:rPr>
          <w:sz w:val="20"/>
          <w:szCs w:val="20"/>
          <w:color w:val="auto"/>
        </w:rPr>
      </w:pPr>
      <w:r>
        <w:rPr>
          <w:rFonts w:ascii="Times New Roman" w:cs="Times New Roman" w:eastAsia="Times New Roman" w:hAnsi="Times New Roman"/>
          <w:sz w:val="18"/>
          <w:szCs w:val="18"/>
          <w:color w:val="auto"/>
        </w:rPr>
        <w:t>Under the Bachem Agreement, we agreed to purchase from Bachem a significant portion of our requirements for the drug substance during the term of the agreement, and to purchase all of our requirements for drug substance for commercial sale, subject to certain exceptions, for a period after the effective date of the agreement.</w:t>
      </w:r>
    </w:p>
    <w:p>
      <w:pPr>
        <w:spacing w:after="0" w:line="137"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Unless earlier terminated, the initial term of the Bachem Agreement continues until December 31, 2025, or the Initial Term. Thereafter, the Bachem Agreement will automatically renew for an additional two-year term. At least 24 months prior to the end of the Initial Term, Bachem will notify us in writing if it is willing to continue to manufacture and supply the drug substance following the end of the Initial Term. For a period of 12 months after receipt of such notice, we have the right to negotiate pricing terms that would apply during the renewal term, which upon agreement will be finalized in an amendment to the Bachem Agreement. We may terminate the Bachem Agreement in the event any required license, permit or certificate of Bachem related to the manufacturing facility or the drug substance is not approved or issued (or is withdrawn) by the relevant governmental authority. Additionally, each party may terminate the Bachem Agreement upon an uncured material breach of the Bachem Agreement by the other party or upon the other party’s insolvency or bankruptcy.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00" w:firstLine="562"/>
        <w:spacing w:after="0" w:line="281" w:lineRule="auto"/>
        <w:rPr>
          <w:sz w:val="20"/>
          <w:szCs w:val="20"/>
          <w:color w:val="auto"/>
        </w:rPr>
      </w:pPr>
      <w:r>
        <w:rPr>
          <w:rFonts w:ascii="Times New Roman" w:cs="Times New Roman" w:eastAsia="Times New Roman" w:hAnsi="Times New Roman"/>
          <w:sz w:val="18"/>
          <w:szCs w:val="18"/>
          <w:color w:val="auto"/>
        </w:rPr>
        <w:t>The Bachem Agreement also includes customary provisions relating to, among others, delivery, inspection procedures, warranties, quality, storage, handling and transport, intellectual property, confidentiality and indemnification.</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Commercial Supply Agreement with NOF</w:t>
      </w:r>
    </w:p>
    <w:p>
      <w:pPr>
        <w:spacing w:after="0" w:line="188" w:lineRule="exact"/>
        <w:rPr>
          <w:sz w:val="20"/>
          <w:szCs w:val="20"/>
          <w:color w:val="auto"/>
        </w:rPr>
      </w:pPr>
    </w:p>
    <w:p>
      <w:pPr>
        <w:ind w:right="180" w:firstLine="562"/>
        <w:spacing w:after="0" w:line="281" w:lineRule="auto"/>
        <w:rPr>
          <w:sz w:val="20"/>
          <w:szCs w:val="20"/>
          <w:color w:val="auto"/>
        </w:rPr>
      </w:pPr>
      <w:r>
        <w:rPr>
          <w:rFonts w:ascii="Times New Roman" w:cs="Times New Roman" w:eastAsia="Times New Roman" w:hAnsi="Times New Roman"/>
          <w:sz w:val="18"/>
          <w:szCs w:val="18"/>
          <w:color w:val="auto"/>
        </w:rPr>
        <w:t>On March 10, 2021, we entered into an amended and restated commercial supply agreement, or the NOF Agreement, with NOF to purchase PEG, which is a component of each of systemic pegcetacoplan and intravitreal pegcetacoplan.</w:t>
      </w:r>
    </w:p>
    <w:p>
      <w:pPr>
        <w:spacing w:after="0" w:line="122" w:lineRule="exact"/>
        <w:rPr>
          <w:sz w:val="20"/>
          <w:szCs w:val="20"/>
          <w:color w:val="auto"/>
        </w:rPr>
      </w:pPr>
    </w:p>
    <w:p>
      <w:pPr>
        <w:ind w:right="80" w:firstLine="562"/>
        <w:spacing w:after="0" w:line="272" w:lineRule="auto"/>
        <w:rPr>
          <w:sz w:val="20"/>
          <w:szCs w:val="20"/>
          <w:color w:val="auto"/>
        </w:rPr>
      </w:pPr>
      <w:r>
        <w:rPr>
          <w:rFonts w:ascii="Times New Roman" w:cs="Times New Roman" w:eastAsia="Times New Roman" w:hAnsi="Times New Roman"/>
          <w:sz w:val="17"/>
          <w:szCs w:val="17"/>
          <w:color w:val="auto"/>
        </w:rPr>
        <w:t>Under the NOF Agreement, NOF’s affiliate, NOF America Corporation, supplies PEG to us on a non-exclusive basis. NOF agreed to manufacture and deliver PEG to us in accordance with purchase orders issued by us pursuant to the NOF Agreement. We may purchase PEG or any polyethylene glycol derivative from other third-party suppliers. Notwithstanding the foregoing, we agreed to purchase at least a minimum purchase obligation, which will be based on our 24-month rolling forecasts as set forth in the NOF Agreement. In the event we fail to meet the minimum purchase obligation, we will pay NOF the amount equal to a specified percentage of the remaining quantity of the minimum purchase obligation for the relevant time period, in addition to any payments due for all outstanding firm orders. We may eliminate the minimum purchase obligation on or before October 1 of the preceding calendar year by paying a specified percentage of the then-applicable supply price of the remaining minimum purchase obligation for the remainder of the term.</w:t>
      </w:r>
    </w:p>
    <w:p>
      <w:pPr>
        <w:spacing w:after="0" w:line="148"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Unless earlier terminated, the term of the NOF Agreement continues through December 31, 2025. Either party may terminate the NOF Agreement upon an uncured material breach by the other party, upon the other party’s insolvency or bankruptcy or for convenience upon twenty-four (24) months prior written notice. We may terminate the NOF Agreement for safety, efficacy or regulatory issues. If the NOF Agreement is terminated by NOF for convenience or by us for NOF’s breach, we have no minimum purchase obligations and any agreement to buy out such minimum purchase obligations shall be of no force or effect.</w:t>
      </w:r>
    </w:p>
    <w:p>
      <w:pPr>
        <w:spacing w:after="0" w:line="141" w:lineRule="exact"/>
        <w:rPr>
          <w:sz w:val="20"/>
          <w:szCs w:val="20"/>
          <w:color w:val="auto"/>
        </w:rPr>
      </w:pPr>
    </w:p>
    <w:p>
      <w:pPr>
        <w:ind w:right="340" w:firstLine="562"/>
        <w:spacing w:after="0" w:line="281" w:lineRule="auto"/>
        <w:rPr>
          <w:sz w:val="20"/>
          <w:szCs w:val="20"/>
          <w:color w:val="auto"/>
        </w:rPr>
      </w:pPr>
      <w:r>
        <w:rPr>
          <w:rFonts w:ascii="Times New Roman" w:cs="Times New Roman" w:eastAsia="Times New Roman" w:hAnsi="Times New Roman"/>
          <w:sz w:val="18"/>
          <w:szCs w:val="18"/>
          <w:color w:val="auto"/>
        </w:rPr>
        <w:t>The NOF Agreement also includes customary provisions relating to, among others, delivery, inspection procedures, warranties, quality, storage, handling and transport, intellectual property, confidentiality and indemnification.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202"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regulatory requirements applicable to drug product development, approval and marketing are subject to change, and regulations and administrative guidance often are revised or reinterpreted by the agencies in ways that may have a significant impact on our business.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failure to comply with applicable requirements under the FDCA and other applicable laws at any time during the product development process, approval process or after approval may subject a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4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FDA must approve our product candidates for therapeutic indications before they may be marketed in the United States. A company, institution or organization which takes responsibility for the initiation and management of a clinical development program for such products is referred to as a sponsor. A sponsor seeking approval to market and distribute a new drug or biologic product in the United States must typically secure the following:</w:t>
      </w:r>
    </w:p>
    <w:p>
      <w:pPr>
        <w:spacing w:after="0" w:line="69" w:lineRule="exact"/>
        <w:rPr>
          <w:sz w:val="20"/>
          <w:szCs w:val="20"/>
          <w:color w:val="auto"/>
        </w:rPr>
      </w:pPr>
    </w:p>
    <w:p>
      <w:pPr>
        <w:ind w:left="1020" w:right="16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54"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investigational new drug application, or IND, which must take effect before human clinical trials may begin;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representing each clinical site before each clinical trial may be initiated;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right="14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and</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8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Before a sponsor begins testing a product candidate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These studies are generally referred to as IND-enabling studies. The conduct of the preclinical tests and formulation of the compounds for testing must comply with federal regulations and requirements, including GLP regulations and standards and the U.S. Department of Agriculture’s Animal Welfare Act, if applicable.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AEs and carcinogenicity, may continue after the IND is submitted.</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assure the safety and rights of patients and to help assure that the quality of the investigation will be adequate to permit an evaluation of the proposed drug’s effectiveness and safety.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5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13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IND requirements, an institutional review board, or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DSMB,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18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Sponsors frequently conduct clinical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4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Reporting Clinical Trial Results</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Public Health Service Act, or the PHSA, sponsors of clinical trials of certain FDA-regulated products, including prescription drugs and biologics, are required to register and disclose certain clinical trial information on a public registry (clinicaltrials.gov) maintained by the U.S. National Institutes of Health, or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The NIH’s Final Rule on registration and reporting requirements for clinical trials became effective in 2017, and both the NIH and the FDA have recently signaled the government’s willingness to begin enforcing those requirements against non-compliant clinical trial sponsors.</w:t>
      </w:r>
    </w:p>
    <w:p>
      <w:pPr>
        <w:spacing w:after="0" w:line="16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PHSA grants the Secretary of Health and Human Services, or HHS, the authority to issue a notice of noncompliance to a responsible party for failure to submit clinical trial information as required. The responsible party, however, is allowed 30 days to correct the noncompliance and submit the required information. The failure to submit clinical trial information to clinicaltrials.gov, as required, is also a prohibited act under the FDCA with violations subject to potential civil monetary penalties of up to $10,000 for each day the violation continues. In addition to civil monetary penalties, violations may also result in other regulatory action, such as injunction and/or criminal prosecution or disqualification from federal grants. Although the FDA has historically not enforced these reporting requirements due to the HHS’s, long delay in issuing final implementing regulations, the FDA has issued pre-notices for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voluntary corrective action and several notices of non-compliance during the past two years. These notices of non-compliance did not result in civil monetary penalties.</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20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4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is no obligation for a sponsor to make its investigational products available for expanded access; however, as required by amendments to the FDCA included in the 21st Century Cures Act, or the Cures Act, passed in 2016, if a sponsor has a policy regarding how it responds to expanded access requests with respect to product candidates in development to treat serious diseases or conditions, it must make that policy publicly available. Sponsors are required to make such policies publicly available upon the earlier of initiation of a Phase 2 or Phase 3 study; or 15 days after the investigational drug or biologic receives designation from the FDA as a breakthrough therapy, fast track product, or regenerative medicine advanced therapy.</w:t>
      </w:r>
    </w:p>
    <w:p>
      <w:pPr>
        <w:spacing w:after="0" w:line="14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20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Each protocol, and any subsequent material amendment to the protocol, must be submitted to the FDA as part of the IND, and progress reports detailing the status of the clinical trials must be submitted to the FDA annually.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the following sequential phases, which may overlap or be combined:</w:t>
      </w:r>
    </w:p>
    <w:p>
      <w:pPr>
        <w:spacing w:after="0" w:line="117" w:lineRule="exact"/>
        <w:rPr>
          <w:sz w:val="20"/>
          <w:szCs w:val="20"/>
          <w:color w:val="auto"/>
        </w:rPr>
      </w:pPr>
    </w:p>
    <w:p>
      <w:pPr>
        <w:ind w:left="10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4" w:lineRule="exact"/>
        <w:rPr>
          <w:rFonts w:ascii="Times New Roman" w:cs="Times New Roman" w:eastAsia="Times New Roman" w:hAnsi="Times New Roman"/>
          <w:sz w:val="18"/>
          <w:szCs w:val="18"/>
          <w:color w:val="auto"/>
        </w:rPr>
      </w:pPr>
    </w:p>
    <w:p>
      <w:pPr>
        <w:ind w:left="1020" w:right="80" w:hanging="504"/>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These clinical trials are commonly referred to as “pivotal” studies, which denotes a study that presents the data that the FDA or other relevant regulatory agency will use to determine whether or not to approve a drug.</w:t>
      </w:r>
    </w:p>
    <w:p>
      <w:pPr>
        <w:spacing w:after="0" w:line="7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Post-approval studies, which are conducted following initial approval, are typically conducted to gain additional experience and data from treatment of patients in the intended therapeutic indication.</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March 2022, the FDA finalized guidance entitled “Expansion Cohorts: Use in First-In-Human Clinical Trials to Expedite Development of Oncology Drugs and Biologics,” which outlines how sponsors can utilize an adaptive trial design in the early stages of oncology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product development and reduce developmental costs and time.</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7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GCPs aimed at modernizing the design and conduct of clinical trials. The updates are intended to help pave the way for more efficient clinical trials to facilitate the development of medical products. The draft guidance is adopted from the International Council for Harmonisation’s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FDA During the Clinical Development Program</w:t>
      </w:r>
    </w:p>
    <w:p>
      <w:pPr>
        <w:spacing w:after="0" w:line="18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Following the clearance of an IND and the commencement of clinical trials, the sponsor will continue to have interactions with the FDA. 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8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Specifically, sponsors may meet with the FDA prior to the submission of an IND (Pre-IND meeting), at the end of Phase 2 clinical trial (EOP2 meeting) and before an NDA is submitted (Pre-NDA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(should be limited to no more than 2 focused topics) and should not require input from more than 3 disciplines or divisions. Finally, INTERACT meetings are intended for novel products and development programs that present unique challenges in the early development of an investigational product.</w:t>
      </w:r>
    </w:p>
    <w:p>
      <w:pPr>
        <w:spacing w:after="0" w:line="18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These meetings provide an opportunity for the sponsor to share information about the data gathered to date with the FDA and for the FDA to provide advice on the next phase of development. For example, at an EOP2, a sponsor may discuss its Phase 2 clinical results and present its plans for the pivotal Phase 3 clinical trial(s) that it believes will support the approval of the new product. Such meetings may be conducted in person, via teleconference/videoconference or written response only with minutes reflecting the questions that the sponsor posed to the FDA and the agency’s responses.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Other Regulatory Requirements</w:t>
      </w:r>
    </w:p>
    <w:p>
      <w:pPr>
        <w:spacing w:after="0" w:line="166" w:lineRule="exact"/>
        <w:rPr>
          <w:sz w:val="20"/>
          <w:szCs w:val="20"/>
          <w:color w:val="auto"/>
        </w:rPr>
      </w:pPr>
    </w:p>
    <w:p>
      <w:pPr>
        <w:ind w:right="140" w:firstLine="509"/>
        <w:spacing w:after="0" w:line="276" w:lineRule="auto"/>
        <w:rPr>
          <w:sz w:val="20"/>
          <w:szCs w:val="20"/>
          <w:color w:val="auto"/>
        </w:rPr>
      </w:pPr>
      <w:r>
        <w:rPr>
          <w:rFonts w:ascii="Times New Roman" w:cs="Times New Roman" w:eastAsia="Times New Roman" w:hAnsi="Times New Roman"/>
          <w:sz w:val="17"/>
          <w:szCs w:val="17"/>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20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or the PREA, applications and certain types of supplements to applications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sponsor must submit an initial Pediatric Study Plan, or PSP, within 60 days of an end-of-phase 2 meeting or as may be agreed between the sponsor and the FDA. Those plans must contain an outline of the proposed pediatric study or studies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sponsor and the FDA must reach agreement on a final plan.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8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14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the sponsor’s response. Unless otherwise required by regulation, the pediatric data requirements do not apply to products with orphan designation, although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18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advanced therapy designation.</w:t>
      </w:r>
    </w:p>
    <w:p>
      <w:pPr>
        <w:spacing w:after="0" w:line="15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fast-track review if it is intended, whether alone or in combination with one or more other products, for the treatment of a serious or life-threatening disease or condition, and it demonstrates the potential to address unmet medical needs for such a disease or condition. For fast-track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4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4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6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Fourth, 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5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4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With the passage of FDORA, Congress modified certain provisions governing accelerated approval of drug and biologic products. Specifically, the new legislation authorized the FDA to (i) require a sponsor to have its confirmatory clinical trial underway before accelerated approval is awarded, (ii) require a sponsor of a product granted accelerated approval to submit progress reports on its post-approval studies to the FDA every six months (until the study is completed) and use expedited procedures to withdraw accelerated approval of an NDA or biologics license application after the confirmatory trial fails to verify the product’s clinical benefit. Further, FDORA requires the FDA to publish on its website “the rationale for why a post-approval study is not appropriate or necessary” whenever it decides not to require such a study upon granting accelerated approval.</w:t>
      </w:r>
    </w:p>
    <w:p>
      <w:pPr>
        <w:spacing w:after="0" w:line="14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While this guidance is currently only in draft form and will ultimately not be legally binding even when finalized, sponsors typically observe FDA’s guidance closely to ensure that their investigational products qualify for accelerated approval.</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Acceptance and Review of NDAs</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chemistry, manufacturing, controls, safety updates, patent information, abuse information 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a drug product. The fee required for the submission and review of an application under the PDUFA is substantial (for example, for federal fiscal year 2024 this application fee is $4,048,695), and the sponsor of an approved application is also subject to an annual program fee, currently set at$416,734 per eligible prescription product for federal fiscal year 2024.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1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applications within 60 days of receipt and must inform the sponsor at that time or before whether an application is sufficiently complete to permit substantive review. In pertinent part, the FDA’s regulations state that an application “shall not be considered as filed until all pertinent information and data have been received” by the FDA. In the event that FDA determines that an application does not satisfy this standard, it will issue a Refuse to File, or RTF, determination to the sponsor. Typically, an RTF will be based on administrative incompleteness, such as clear omission of information or sections of required information; scientific incompleteness, such as omission of critical data, information or analyses needed to evaluate safety and efficacy or provide adequate directions for use; or inadequate content, presentation, or organization of information such that substantive and meaningful review is precluded. The FDA may request additional information rather than accept an application for filing. In this event, the application must be resubmitted with the additional information. The resubmitted application is also subject to review before the FDA accepts it for filing.</w:t>
      </w:r>
    </w:p>
    <w:p>
      <w:pPr>
        <w:spacing w:after="0" w:line="16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reviews the application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that is a new molecular entity, and six months from the filing date for an application with “priority review.” The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an application to extend beyond the PDUFA goal date.</w:t>
      </w:r>
    </w:p>
    <w:p>
      <w:pPr>
        <w:spacing w:after="0" w:line="15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its review of an application, the FDA will typically submit information requests to the sponsor and set deadlines for responses thereto. The FDA will also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are adequate to assure consistent production of the product within required specifications. The FDA also may inspect the sponsor and one or more clinical trial sites to assure compliance with IND and GCP requirements and the integrity of the clinical data submitted to the FDA.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 To ensure cGMP and GCP compliance by its employees and third-party contractors, a sponsor may incur significant expenditure of time, money and effort in the areas of training, record keeping, production and quality control.</w:t>
      </w:r>
    </w:p>
    <w:p>
      <w:pPr>
        <w:spacing w:after="0" w:line="14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the FDA may refer an application,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sponsor interprets the same data. The FDA may also re-analyze the clinical trial data, which could result in extensive discussions between the FDA and the sponsor during the review process.</w:t>
      </w:r>
    </w:p>
    <w:p>
      <w:pPr>
        <w:spacing w:after="0" w:line="14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also may require submission of a REMS if it determines that a REMS is necessary to ensure that the benefits of the product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application must submit a proposed REMS and the FDA will not approve the application without a REMS.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Decisions on NDAs</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the product is safe and whether it is effective for its intended use(s), with the latter determination being made on the basis of substantial evidence. The term “substantial evidence” is defined under the FDCA as “evidence consisting of adequate and well-controlled investigations, including clinical investigations, by experts qualified by scientific training and experience to evaluate the effectiveness of the product involved, on the basis of which it could fairly and responsibly be concluded by such experts that the product will have the effect it purports or is represented to have under the conditions of use prescribed, recommended, or suggested in the labeling or proposed labeling thereof.”</w:t>
      </w:r>
    </w:p>
    <w:p>
      <w:pPr>
        <w:spacing w:after="0" w:line="14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FDA has interpreted this evidentiary standard to require at least two adequate and well-controlled clinical investigations to establish effectiveness of a new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FDA determines, based on relevant science, that data from one adequate and well-controlled clinical investigation and confirmatory evidence (obtained prior to or after such investigation) are sufficient to establish effectiveness, the FDA may consider such data and evidence to constitute substantial evidence.” This modification to the law recognized the potential for the FDA to find that one adequate and well controlled clinical investigation with confirmatory evidence, including supportive data outside of a controlled trial, is sufficient to establish effectiveness. In December 2019, the FDA issued draft guidance further explaining the studies that are needed to establish substantial evidence of effectiveness. Although the FDA has not yet finalized that guidance, the agency did issue draft guidance in September 2023 that outlines considerations for relying on confirmatory evidence in lieu of a second clinical trial to demonstrate efficacy.</w:t>
      </w:r>
    </w:p>
    <w:p>
      <w:pPr>
        <w:spacing w:after="0" w:line="16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drug is effective and that its expected benefits outweigh its potential risks to patients. This “benefit-risk” assessment is informed by the extensive body of evidence about the product’s safety and efficacy in the NDA.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 In connection with this assessment, the FDA review team will assemble all individual reviews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and other documents into an “action package,” which becomes the record for FDA review. The review team then issues a recommendation, and a senior FDA official makes a decision.</w:t>
      </w:r>
    </w:p>
    <w:p>
      <w:pPr>
        <w:spacing w:after="0" w:line="136"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w:t>
      </w:r>
    </w:p>
    <w:p>
      <w:pPr>
        <w:spacing w:after="0" w:line="13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FDA has committed to reviewing such resubmissions in two or six months depending on the type of information included. Even with the submission of this additional information, the FDA ultimately may decide that the application does not satisfy the regulatory criteria for approval. The FDA has taken the position that a CRL is not final agency action making the determination subject to judicial review.</w:t>
      </w:r>
    </w:p>
    <w:p>
      <w:pPr>
        <w:spacing w:after="0" w:line="13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Under the Ensuring Innovation Act, which was signed into law in April 2021, the FDA must publish action packages summarizing its decisions to approve new drugs within 30 days of approval of such products. CRLs are not publicly available documents.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4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4"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w:t>
      </w:r>
    </w:p>
    <w:p>
      <w:pPr>
        <w:spacing w:after="0" w:line="16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14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4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a variety of federal and state laws, the most recent of which is still in the process of being phased into the U.S. supply chain and regulatory framework. The Prescription Drug Marketing Act, or the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Congress more recently enacted the Drug Supply Chain Security Act, or the DSCSA, which made significant amendments to the FDCA, including by replacing certain provisions from the PDMA pertaining to wholesale distribution of prescription drugs with a more comprehensive statutory scheme. The DSCSA now requires uniform national standards for wholesale distribution and, for the first time, for third-party logistics providers; it also provides for preemption of certain state laws in the areas of licensure and prescription drug traceability.</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119"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6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Section 505(b)(2) authorizes the FDA to approve an NDA based on safety and effectiveness data that were not developed by the sponsor. NDAs filed under Section 505(b)(2) may provide an alternate and potentially more expeditious pathway to FDA approval for new or improved formulations or new uses of previously approved products. If the Section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Generic Drugs and Regulatory Exclusivity</w:t>
      </w:r>
    </w:p>
    <w:p>
      <w:pPr>
        <w:spacing w:after="0" w:line="20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To obtain approval of a generic drug, the sponsor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4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4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Upon approval of an abbreviated new drug application, or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5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or 505(b)(2) application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In cases where such NCE exclusivity has been granted, a generic or follow-on drug application may not be filed with the FDA until the expiration of five years unless the submission is accompanied by a Paragraph IV certification, in which case the sponsor may submit its application four years following the original product approval.</w:t>
      </w:r>
    </w:p>
    <w:p>
      <w:pPr>
        <w:spacing w:after="0" w:line="14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sponsor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7"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1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part of the submission of an NDA or certain supplemental applications, NDA sponsors are required to list with the FDA each patent with claims that cover the sponsor’s product or an approved method of using the product. Upon approval of a new drug, each of the patents listed in the application for the drug is then published in the Orange Book. The FDA’s regulations governing patent listings were largely codified into law with enactment of the Orange Book Modernization Act in January 2021.When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sponsor must certify with respect to each patent that:</w:t>
      </w:r>
    </w:p>
    <w:p>
      <w:pPr>
        <w:spacing w:after="0" w:line="117"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8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sponsor is not seeking approval).</w:t>
      </w:r>
    </w:p>
    <w:p>
      <w:pPr>
        <w:spacing w:after="0" w:line="15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sponsor.</w:t>
      </w:r>
    </w:p>
    <w:p>
      <w:pPr>
        <w:spacing w:after="0" w:line="14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sponsor.</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0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exclusivity to the term of any existing unexpired patent or regulatory exclusivity, including the non-patent and orphan exclusivity, for drug products.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sponsor submitted a paragraph IV patent certification, unless the NDA sponsor or patent owner first obtains a court determination that the patent is valid and infringed by a proposed generic product.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4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Under FDARA, orphan exclusivity will not bar approval of another orphan drug under certain circumstances, including if a subsequent product with the same drug for the same indication is shown to be clinically superior to the approved product on the basis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spacing w:after="0" w:line="1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Review and Clearance or Approval of Medical Devices in the United States</w:t>
      </w:r>
    </w:p>
    <w:p>
      <w:pPr>
        <w:spacing w:after="0" w:line="1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Medical devices in the United States are strictly regulated by the FDA. Under the FDCA, a medical device is defined as an instrument, apparatus, implement, machine, contrivance, implant,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Unless an exemption applies, a new medical device may not be marketed in the United States until it has been cleared through filing of a 510(k) premarket notification, or 510(k), or approved by the FDA pursuant to a premarket approval application, or PMA.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or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spacing w:after="0" w:line="14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 PMA applications are subject to an application fee. For federal fiscal year 2024, the standard fee is $483,560 and the small business fee is $120,890.</w:t>
      </w:r>
    </w:p>
    <w:p>
      <w:pPr>
        <w:spacing w:after="0" w:line="15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w:t>
      </w:r>
    </w:p>
    <w:p>
      <w:pPr>
        <w:sectPr>
          <w:pgSz w:w="11900" w:h="16838" w:orient="portrait"/>
          <w:cols w:equalWidth="0" w:num="1">
            <w:col w:w="11240"/>
          </w:cols>
          <w:pgMar w:left="320" w:top="768"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155" w:lineRule="exact"/>
        <w:rPr>
          <w:sz w:val="20"/>
          <w:szCs w:val="20"/>
          <w:color w:val="auto"/>
        </w:rPr>
      </w:pPr>
    </w:p>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Non-significant risk devices are devices that do not pose a significant risk to the human subjects. A non-significant risk device study requires only IRB approval prior to initiation of a clinical study.</w:t>
      </w:r>
    </w:p>
    <w:p>
      <w:pPr>
        <w:spacing w:after="0" w:line="14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Review and Approval of Combination Products in the United States</w:t>
      </w:r>
    </w:p>
    <w:p>
      <w:pPr>
        <w:spacing w:after="0" w:line="186"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Certain products may be comprised of components that would normally be regulated under different types of regulatory authorities, and frequently by different Centers at the FDA. These products are known as combination products. Under regulations issued by the FDA, a combination product may be:</w:t>
      </w:r>
    </w:p>
    <w:p>
      <w:pPr>
        <w:spacing w:after="0" w:line="31" w:lineRule="exact"/>
        <w:rPr>
          <w:sz w:val="20"/>
          <w:szCs w:val="20"/>
          <w:color w:val="auto"/>
        </w:rPr>
      </w:pPr>
    </w:p>
    <w:p>
      <w:pPr>
        <w:ind w:left="102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w:t>
      </w:r>
    </w:p>
    <w:p>
      <w:pPr>
        <w:spacing w:after="0" w:line="116"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73" w:lineRule="exact"/>
        <w:rPr>
          <w:rFonts w:ascii="Times New Roman" w:cs="Times New Roman" w:eastAsia="Times New Roman" w:hAnsi="Times New Roman"/>
          <w:sz w:val="18"/>
          <w:szCs w:val="18"/>
          <w:color w:val="auto"/>
        </w:rPr>
      </w:pPr>
    </w:p>
    <w:p>
      <w:pPr>
        <w:ind w:left="1020" w:right="520" w:hanging="504"/>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1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Data Privacy Laws</w:t>
      </w:r>
    </w:p>
    <w:p>
      <w:pPr>
        <w:spacing w:after="0" w:line="186"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business or trials or where we may do business in the future. These laws are evolving and may increase both our obligations and our regulatory risks in the future. In the health care industry generally, under the Health Insurance Portability and Accountability Act of 1996, or HIPAA, the HHS has issued regulations to protect the privacy and security of protected health information, or PHI, used or disclosed by covered entities including certain healthcare providers, health plans, and healthcare clearinghouses. HIPAA also regulates standardization of data content, codes, and formats used in healthcare transactions and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4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will regulate the collection and sharing of health information, and the law also has a private right of action, which further increases the relevant compliance risk. Connecticut and Nevada have also passed similar laws regulating consumer health data and additional states are considering such legislation for 2024. These laws may impact our business activities, including our identification of research subjects, relationships with business partners and ultimately the marketing and distribution of our products.</w:t>
      </w:r>
    </w:p>
    <w:p>
      <w:pPr>
        <w:spacing w:after="0" w:line="14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We are subject to similar foreign laws to the extent our products are sold in foreign countries.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Review and Approval of Drug Products in the European Union</w:t>
      </w:r>
    </w:p>
    <w:p>
      <w:pPr>
        <w:spacing w:after="0" w:line="20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outside of the United States. Whether or not we obtain FDA approval for a product candidate, we must obtain approval by the comparable regulatory authorities of foreign countries or economic areas, such as the 27-member EU, before we may commence clinical trials or market products in those countries or areas. In the EU, our product candidates also may be subject to extensive regulatory requirements. As in the United States, medicinal products can be marketed only if a</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marketing authorization from the competent regulatory agencies has been obtained. Similar to the United States, the various phases of preclinical and clinical research in the EU are subject to significant regulatory controls.</w:t>
      </w:r>
    </w:p>
    <w:p>
      <w:pPr>
        <w:spacing w:after="0" w:line="13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With the exception of the EU/European Economic Area, or the EEA, applying the harmonized regulatory rules for medicinal products, the approval process and requirements governing the conduct of clinical trials, product licensing, pricing and reimbursement vary greatly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18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the Clinical Trials Regulation, became effective in the European Union and replaced the prior Clinical Trials Directive 2001/20/EC. The new Clinical Trials Regulation aims at simplifying and streamlining the authorization, conduct and transparency of clinical trials in the European Union. Under the new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14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Beyond streamlining the process, the Clinical Trials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45"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The Clinical Trials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clinical site after the applicable ethics committee has issued a favorable opinion.</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Parties conducting certain clinical trials must, as in the United States, post clinical trial information in the EU at the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w:t>
      </w:r>
    </w:p>
    <w:p>
      <w:pPr>
        <w:spacing w:after="0" w:line="3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Procedures Governing Approval of Drug Products in the European Union</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the European Clinical Trials Directive, a system for the approval of clinical trials in the European Union has been implemented through national legislation of the member states. Under this system, a sponsor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4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To obtain marketing approval of a product under European Union regulatory systems, a sponsor must submit a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45"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The decentralized procedure is available to sponsors who wish to market a product in various E.U. member states where such product has not previously 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 sponsor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35"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7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Within this framework, manufacturers may seek approval of hybrid medicinal products under Article 10(3) of Directive 2001/83/EC. Hybrid applications rely, in part, on information and data from a reference product and new data from appropriate preclinical tests and clinical trials. Such applications are necessary when the proposed product does not meet the strict definition of a generic medicinal product, or bioavailability studies cannot be used to demonstrate bioequivalence, or there are changes in the active substance(s), therapeutic indications, strength, pharmaceutical form or route of administration of the generic product compared to the reference medicinal product. In such cases the results of tests and trials must be consistent with the data content standards required in the Annex to the Directive 2001/83/EC, as amended by Directive 2003/63/EC.</w:t>
      </w:r>
    </w:p>
    <w:p>
      <w:pPr>
        <w:spacing w:after="0" w:line="186"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Hybrid medicinal product applications have automatic access to the centralized procedure when the reference product was authorized for marketing via that procedure. Where the reference product was authorized via the decentralized procedure, a hybrid application may be accepted for consideration under the centralized procedure if the sponsor shows that the medicinal product constitutes a significant therapeutic, scientific or technical innovation, or the granting of a community authorization for the medicinal product is in the interest of patients at the community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Approval</w:t>
      </w:r>
    </w:p>
    <w:p>
      <w:pPr>
        <w:spacing w:after="0" w:line="22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particular circumstances, EU legislation (Article 14–a Regulation (EC) No 726/2004 (as amended by Regulation (EU) 2019/5 and Regulation (EC) No 507/2006 on Conditional Marketing Authorizations for Medicinal Products for Human Use)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a marketing authorization may be granted prior to submission of comprehensive clinical data provided that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Exceptional Circumstances</w:t>
      </w:r>
    </w:p>
    <w:p>
      <w:pPr>
        <w:spacing w:after="0" w:line="20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Marketing authorization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marketing authorization is close to the conditional marketing authorization as it is reserved to medicinal products to be approved for severe diseases or unmet medical needs and the applicant does not hold the complete data set legally required for the grant of marketing authorization. However, unlike the conditional marketing authorization, the applicant does not have to provide the missing data and will never have to. Although marketing authorization “under exceptional circumstances” is granted definitively, the risk-benefit balance of the medicinal product is reviewed annually and the marketing authorization is withdrawn in case the risk-benefit ratio is no longer favorable. Under these procedures, before granting the marketing authorization, EMA or the competent authorities of the member states make an assessment of the risk-benefit balance of the product on the basis of scientific criteria concerning its quality, safety, and efficacy. Except conditional marketing authorizations, marketing authorizations have an initial duration of five years. After these five years, the authorization may be renewed on the basis of a reevaluation of the risk-benefit balance.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Pediatric Studies in the EU</w:t>
      </w:r>
    </w:p>
    <w:p>
      <w:pPr>
        <w:spacing w:after="0" w:line="1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obtaining a marketing authorization in the European Union,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in children is not needed or is not appropriate because (a) the product is likely to be ineffective or unsafe in part or all of the pediatric population; (b) the disease or condition occurs only in adult population; or (c) the product does not represent a significant therapeutic benefit over existing treatments for pediatric population. Before an MAA can be filed, or an existing marketing authorization can be amended, the EMA determines that companies actually comply with the agreed studies and measures listed in each relevant PIP.</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with respect to quality, safety and efficacy, including all variations introduced since the marketing authorization was granted, at least six months before the marketing authorization ceases to be valid. Once renewed, the marketing authorization is valid for an unlimited period, unless the EC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119"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As in the United States, both marketing authorization holders and manufacturers of medicinal products are subject to comprehensive regulatory oversight by the EMA and the competent authorities of the individual EU Member States both before and</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after grant of the manufacturing and marketing authorizations. The holder of an EU marketing authorization for a medicinal product must, for example, comply with EU pharmacovigilance legislation and its related regulations and guidelines which entail many requirements for conducting pharmacovigilance, or the assessment and monitoring of the safety of medicinal products. The manufacturing process for medicinal products in the EU is also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including compliance with EU cGMP standards when manufacturing medicinal products and active pharmaceutical ingredients.</w:t>
      </w:r>
    </w:p>
    <w:p>
      <w:pPr>
        <w:spacing w:after="0" w:line="145" w:lineRule="exact"/>
        <w:rPr>
          <w:sz w:val="20"/>
          <w:szCs w:val="20"/>
          <w:color w:val="auto"/>
        </w:rPr>
      </w:pPr>
    </w:p>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In the EU, the advertising and promotion of approved products are subject to EU Member States’ laws governing promotion of medicinal products, interactions with clinicians,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orSmPC, as approved by the competent authorities. Promotion of a medicinal product that does not comply with the SmPC is considered to constitute off-label promotion, which is prohibited in the EU.</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product if such company can complete a full MAA with a complete database of pharmaceutical tests, preclinical tests and clinical trials and obtain marketing approval of its product.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0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14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Orphan medicinal products are eligible for financial incentives such as reduction of fees or fee waivers and are, upon grant of a marketing authorization, entitled to ten years of market exclusivity for the approved therapeutic indication. During this ten-year market exclusivity period, the EMA or the competent authorities of the Member States of the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4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ten-year market exclusivity in the EU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(1) the second sponsor can establish that its product, although similar, is safer, more effective or otherwise clinically superior; (2) the sponsor consents to a second orphan medicinal product application; or (3) the sponsor cannot supply enough orphan medicinal product.</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Pediatric Exclusivity in the EU</w:t>
      </w:r>
    </w:p>
    <w:p>
      <w:pPr>
        <w:spacing w:after="0" w:line="200"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If a sponsor obtains a marketing authorization in all EU Member States, or a marketing authorization granted in the centralized procedure by the European Commission, and the study results for the pediatric population are included in the product information,</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even when negative, the medicine is then eligible for an additional six-month period of qualifying patent protection through extension of the term of the Supplementary Protection Certificate, or SPC, or alternatively a one year extension of the regulatory market exclusivity from ten to eleven years, as selected by the marketing authorization holder.</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Patent Term Extensions</w:t>
      </w:r>
    </w:p>
    <w:p>
      <w:pPr>
        <w:spacing w:after="0" w:line="227" w:lineRule="exact"/>
        <w:rPr>
          <w:sz w:val="20"/>
          <w:szCs w:val="20"/>
          <w:color w:val="auto"/>
        </w:rPr>
      </w:pPr>
    </w:p>
    <w:p>
      <w:pPr>
        <w:ind w:right="80" w:firstLine="509"/>
        <w:spacing w:after="0" w:line="220" w:lineRule="exact"/>
        <w:rPr>
          <w:sz w:val="20"/>
          <w:szCs w:val="20"/>
          <w:color w:val="auto"/>
        </w:rPr>
      </w:pPr>
      <w:r>
        <w:rPr>
          <w:rFonts w:ascii="Times New Roman" w:cs="Times New Roman" w:eastAsia="Times New Roman" w:hAnsi="Times New Roman"/>
          <w:sz w:val="18"/>
          <w:szCs w:val="18"/>
          <w:color w:val="auto"/>
        </w:rPr>
        <w:t>The EU also provides for patent term extension through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Although SPCs are available throughout the EU, sponsors must apply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Similar patent term extension rights exist in certain other foreign jurisdictions outside the EU.</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withdrawal of the United Kingdom from the European Union, took place on January 31, 2020. The European Union and the United Kingdom reached an agreement on their new partnership in the Trade and Cooperation Agreement, or the TCA, which was applied provisionally beginning on January 1, 2021, and which entered into force on May 1, 2021. The TCA focuses primarily on free trade by ensuring no tariffs or quotas on trade in goods, including healthcare products such as medicinal products. Thereafter, the European Union and the United Kingdom will form two separate markets governed by two distinct regulatory and legal regimes, except that Northern Ireland will continue to broadly follow EU laws as further described below. As such, the TCA seeks to minimize barriers to trade in goods while accepting that border checks will become inevitable as a consequence that the United Kingdom is no longer part of the single market. As of January 1, 2021, the Medicines and Healthcare products Regulatory Agency, or MHRA, became responsible for supervising medicines and medical devices in Great Britain, comprising England, Scotland, and Wales under domestic law whereas Northern Ireland continues to be subject to EU rules under the Northern Ireland Protocol.</w:t>
      </w:r>
    </w:p>
    <w:p>
      <w:pPr>
        <w:spacing w:after="0" w:line="1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UK market (i.e., GB and Northern Ireland), and the EMA will no longer have any role in approving medicinal products destined for Northern Ireland. A single UK-wide marketing authorization will be granted by the MHRA for all medicinal products to be sold in the United Kingdom, enabling products to be sold in a single pack and under a single authorization throughout the United Kingdom. The Windsor Framework was approved by the EU-UK Joint Committee on March 24, 2023, so the UK government and the European Union will enact legislative measures to bring it into law. On June 9, 2023, the MHRA announced that the medicines aspects of the Windsor Framework will apply as of January 1, 2025. The Human Medicines Regulations 2012 (SI 2012/1916) (as amended), or the HMR, is the primary legal instrument for the regulation of medicines in the UK. The HMR has incorporated into the domestic law the body of EU law instruments governing medicinal products that existed prior to the United Kingdom’s withdrawal from the European Union.</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 However, new legislation such as the (EU) Clinical Trials Regulation will not be applicable in Great Britain. Since a significant proportion of the regulatory framework for pharmaceutical products in the United Kingdom covering the quality, safety, and efficacy of pharmaceutical products, clinical trials, marketing authorizations,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United Kingdom. For example, the United Kingdom is no longer covered by the centralized procedures for obtaining EU-wide marketing authorizations from the EMA, and a separate marketing authorization will be required to market our product candidates in the United Kingdom. A new international recognition framework has been in place since January 1, 2024, whereby the MHRA will have regard to decisions on the approval of marketing authorizations made by the EMA and certain other regulators when determining an application for a new Great Britain marketing authorization.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EEA, including personal health data, is subject to the GDPR, which became effective on May 25, 2018. In the United Kingdom, the GDPR is retained in domestic law as the UK GDPR and sits alongside an amended version of the UK Data Protection Act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of the respective group of companies,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59"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8"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w:t>
      </w:r>
    </w:p>
    <w:p>
      <w:pPr>
        <w:spacing w:after="0" w:line="1"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3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health outcome studies in order to demonstrate the medical necessity, quality of life benefits, and cost-effectiveness of the product, in addition to the costs required to obtain FDA or other comparable regulatory approvals. Nonetheless, product candidates may not be considered medically necessary or cost effective in light of cost-benefit analysis.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45"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studies that compare the cost effectiveness of our product candidates or products to other available therapies. The conduct of such studies could be expensive and result in delays in our commercialization efforts.</w:t>
      </w:r>
    </w:p>
    <w:p>
      <w:pPr>
        <w:spacing w:after="0" w:line="14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in order to obtain reimbursement.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and issue guidance to prescribers. The downward pressure on health care costs in general, particularly prescription drugs, has become intense. As a result, increasingly high barriers are being erected to the entry of</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new products. In addition, reference pricing and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 and Regulation</w:t>
      </w:r>
    </w:p>
    <w:p>
      <w:pPr>
        <w:spacing w:after="0" w:line="20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74" w:lineRule="exact"/>
        <w:rPr>
          <w:sz w:val="20"/>
          <w:szCs w:val="20"/>
          <w:color w:val="auto"/>
        </w:rPr>
      </w:pPr>
    </w:p>
    <w:p>
      <w:pPr>
        <w:ind w:left="1020" w:right="100" w:hanging="504"/>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73" w:lineRule="exact"/>
        <w:rPr>
          <w:rFonts w:ascii="Times New Roman" w:cs="Times New Roman" w:eastAsia="Times New Roman" w:hAnsi="Times New Roman"/>
          <w:sz w:val="18"/>
          <w:szCs w:val="18"/>
          <w:color w:val="auto"/>
        </w:rPr>
      </w:pPr>
    </w:p>
    <w:p>
      <w:pPr>
        <w:ind w:left="1020" w:right="400" w:hanging="504"/>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73" w:lineRule="exact"/>
        <w:rPr>
          <w:rFonts w:ascii="Times New Roman" w:cs="Times New Roman" w:eastAsia="Times New Roman" w:hAnsi="Times New Roman"/>
          <w:sz w:val="18"/>
          <w:szCs w:val="18"/>
          <w:color w:val="auto"/>
        </w:rPr>
      </w:pPr>
    </w:p>
    <w:p>
      <w:pPr>
        <w:jc w:val="both"/>
        <w:ind w:left="1020" w:right="240" w:hanging="504"/>
        <w:spacing w:after="0" w:line="31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1020" w:right="100" w:hanging="504"/>
        <w:spacing w:after="0" w:line="25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HHS, information related to payments and other transfers of value to certain healthcare providers and teaching hospitals and information regarding ownership and investment interests held by physicians and their immediate family members; and</w:t>
      </w:r>
    </w:p>
    <w:p>
      <w:pPr>
        <w:spacing w:after="0" w:line="77"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2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8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7"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includes changes to the coverage and payment for drug products under government health care programs. This legislation resulted in aggregate reductions to Medicare payments to providers of up to 2% per fiscal year, which will remain in effect through 2031. Other legislative changes have been proposed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Coronavirus Aid, Relief and Economic Security Act, or CARES Act. The American Taxpayer Relief Act of 2012, among other things, reduced Medicare payments to several providers and increased the statute of limitations period for the government to recover overpayments to providers from three to five years.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current legislation, the actual reductions in Medicare payments may vary up to 4%. The Consolidated Appropriations Act, which was signed into law by President Biden in December 2022, made several changes to sequestration of the Medicare program. Section 1001 of the Act delays the 4% Statutory Pay-As-You-Go Act of 2010, or PAYGO, sequester for two years, through the end of calendar year 2024. Triggered by enactment of the American Rescue Plan Act of 2021, the 4% cut to the Medicare program would have taken effect in January 2023. The Act’s health care offset title includes Section 4163, which extends the 2% Budget Control Act of 2011 Medicare sequester for six months into FY 2032 and lowers the payment reduction percentages in FYs 2030 and 2031.</w:t>
      </w:r>
    </w:p>
    <w:p>
      <w:pPr>
        <w:spacing w:after="0" w:line="1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In June 2021, the U.S. Supreme Court dismissed an action seeking to strike down the ACA after finding that the plaintiffs do not have standing to challenge the constitutionality of the ACA. Litigation and legislation over the ACA are likely to continue, with unpredictable and uncertain results.</w:t>
      </w:r>
    </w:p>
    <w:p>
      <w:pPr>
        <w:spacing w:after="0" w:line="186"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January 28, 2021, however, President Biden rescinded those orders and issued a new Executive Order which directs federal agencies to reconsider rules and other policies that limit Americans’ access to health care and consider actions that will protect and strengthen that access. This Executive Order also directs the U.S. Department of Health and Human Services to create a special enrollment period for the Health Insurance Marketplace in response to the COVID-19 pandemic. We cannot predict how federal agencies will respond to such Executive Orders.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the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the HHS. Nine states have passed laws allowing for the importation of drugs from Canada. Certain of these states have submitted Section 804 Importation Program proposals and are awaiting FDA approval. On January 5, 2024, the FDA approved Florida’s plan for Canadian drug importation.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has been delayed by Congress to January 1, 2032.</w:t>
      </w:r>
    </w:p>
    <w:p>
      <w:pPr>
        <w:spacing w:after="0" w:line="186"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by President Biden. The new legislation has implications for Medicare Part D, which is a program available to individuals who are entitled to Medicare Part A or enrolled in</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8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 June 6, 2023, Merck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against HHS and CMS. Litigation involving these and other provisions of the IRA will continue with unpredictable and uncertain results.</w:t>
      </w:r>
    </w:p>
    <w:p>
      <w:pPr>
        <w:spacing w:after="0" w:line="14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As December 31, 2023, we had 702 full-time employees and four part-time employees. Of these employees, 576 were based in the United States, 130 were based in international locations and 108 held Ph.D., Pharm.D. or M.D. degrees. None of our employees are represented by a labor union or covered under a collective bargaining agreement. We also retain independent contractors to support the goals of our organization. We are committed to providing a positive employee experience and a culture that embodies our values.</w:t>
      </w:r>
    </w:p>
    <w:p>
      <w:pPr>
        <w:spacing w:after="0" w:line="74"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Fostering a diverse and inclusive culture which invests in attracting, retaining, engaging and developing our people is critical to achieving our business objectives and bringing value to patients, shareholders and all stakeholders. We are a majority female organization, and we maintain significant female representation at all levels. As of December 31, 2023, 55% of our workforce were women and 26% of those in senior leadership roles are women. Racial and ethnic diversity in the aggregate has improved at our company over the last few years. As of December 31, 2023, 28% of our workforce were ethnically diverse and 12% of those in senior leadership roles are ethnically diverse. However, we recognize that there is still important progress to be made, particularly as relates to Black and Latino representation at our company, and this remains an area of continued emphasis for us.</w:t>
      </w:r>
    </w:p>
    <w:p>
      <w:pPr>
        <w:spacing w:after="0" w:line="78" w:lineRule="exact"/>
        <w:rPr>
          <w:sz w:val="20"/>
          <w:szCs w:val="20"/>
          <w:color w:val="auto"/>
        </w:rPr>
      </w:pPr>
    </w:p>
    <w:p>
      <w:pPr>
        <w:jc w:val="both"/>
        <w:ind w:right="460" w:firstLine="749"/>
        <w:spacing w:after="0" w:line="288" w:lineRule="auto"/>
        <w:rPr>
          <w:sz w:val="20"/>
          <w:szCs w:val="20"/>
          <w:color w:val="auto"/>
        </w:rPr>
      </w:pPr>
      <w:r>
        <w:rPr>
          <w:rFonts w:ascii="Times New Roman" w:cs="Times New Roman" w:eastAsia="Times New Roman" w:hAnsi="Times New Roman"/>
          <w:sz w:val="17"/>
          <w:szCs w:val="17"/>
          <w:color w:val="auto"/>
        </w:rPr>
        <w:t>We care for the health, well-being, and futures of our employees and their families. To incentivize and reward strong performance, we have competitive compensation and benefits programs, including short-term and long-term incentives, exceptional health and wellness benefits along with generous vacation and leave programs. We offer an array of flexible working options that balances the needs of our employees with business needs.</w:t>
      </w:r>
    </w:p>
    <w:p>
      <w:pPr>
        <w:spacing w:after="0" w:line="5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offer equity incentives to all new employees and an annual equity award to all our employees in connection with our annual performance reviews and regular Total Rewards programs. Our equity and cash incentive plans are aimed to increase stockholder value and the success of our company by motivating our employees to perform to the best of their abilities and achieve our and their objectives. In addition, many of our employees are stockholders of our company through participation in our Employee Stock Purchase Plan, which aligns the interests of our employees with our stockholders by providing stock ownership on a tax-deferred basis. We also provide up to a 50% match on employee contributions (up to 5% of base salary) to our 401(k) retirement savings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100" w:firstLine="749"/>
        <w:spacing w:after="0" w:line="251" w:lineRule="auto"/>
        <w:rPr>
          <w:sz w:val="20"/>
          <w:szCs w:val="20"/>
          <w:color w:val="auto"/>
        </w:rPr>
      </w:pPr>
      <w:r>
        <w:rPr>
          <w:rFonts w:ascii="Times New Roman" w:cs="Times New Roman" w:eastAsia="Times New Roman" w:hAnsi="Times New Roman"/>
          <w:sz w:val="18"/>
          <w:szCs w:val="18"/>
          <w:color w:val="auto"/>
        </w:rPr>
        <w:t>Our full-time U.S. employees are all eligible to participate in our health, vision, dental, life, and long-term disability insurance plans. To encourage employees to keep up with routine medical care and participate in our wellness program, we fund a health reimbursement account for participating employees and to help our employees cover medical expenses pre-tax, we also offer employees a flexible spending account. Our employees outside of the United States receive competitive compensation and benefits that are regularly benchmarked to ensure market norms and reflect our standards. All employees globally have access to complimentary virtual fitness programs, mental and emotional health support services, as well as support programs to assist working parents with childcare and tutoring. This benefit also extends to eldercare, pet care, and other needs facing our diverse global team.</w:t>
      </w:r>
    </w:p>
    <w:p>
      <w:pPr>
        <w:spacing w:after="0" w:line="300"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We regularly evaluate the effectiveness of our talent management practices through employee surveys and fostering a culture of ongoing feedback. In addition, we track important talent metrics such as turnover rate and employee engagement. Voluntary and involuntary turnover rates across all levels (executives/ senior managers, mid-level managers and professionals) are in alignment with, or lower than, the industry average.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88"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We are highly committed to policies and practices focused on sustainability, positively impacting our community and maintaining and cultivating good corporate governance. By focusing on such policies and practices, we strive to bring transformative medicines to patients, provide an engaging and inclusive workplace for our employees, minimize our impact on the environment, and always demonstrate integrity in our actions.</w:t>
      </w:r>
    </w:p>
    <w:p>
      <w:pPr>
        <w:spacing w:after="0" w:line="69" w:lineRule="exact"/>
        <w:rPr>
          <w:sz w:val="20"/>
          <w:szCs w:val="20"/>
          <w:color w:val="auto"/>
        </w:rPr>
      </w:pPr>
    </w:p>
    <w:p>
      <w:pPr>
        <w:ind w:right="740" w:firstLine="794"/>
        <w:spacing w:after="0" w:line="281" w:lineRule="auto"/>
        <w:rPr>
          <w:sz w:val="20"/>
          <w:szCs w:val="20"/>
          <w:color w:val="auto"/>
        </w:rPr>
      </w:pPr>
      <w:r>
        <w:rPr>
          <w:rFonts w:ascii="Times New Roman" w:cs="Times New Roman" w:eastAsia="Times New Roman" w:hAnsi="Times New Roman"/>
          <w:sz w:val="18"/>
          <w:szCs w:val="18"/>
          <w:color w:val="auto"/>
        </w:rPr>
        <w:t>Information in our ESG Sustainability Report is not incorporated by reference into this Form 10-K. We look forward to continuing our commitment to giving back to our local communities in 2024 and beyond.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principal executive office is located at 100 Fifth Avenue, Waltham, Massachusetts, and our telephone number is 617-977-5700.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jc w:val="both"/>
        <w:ind w:right="140" w:firstLine="749"/>
        <w:spacing w:after="0" w:line="265" w:lineRule="auto"/>
        <w:rPr>
          <w:sz w:val="20"/>
          <w:szCs w:val="20"/>
          <w:color w:val="auto"/>
        </w:rPr>
      </w:pPr>
      <w:r>
        <w:rPr>
          <w:rFonts w:ascii="Times New Roman" w:cs="Times New Roman" w:eastAsia="Times New Roman" w:hAnsi="Times New Roman"/>
          <w:sz w:val="18"/>
          <w:szCs w:val="18"/>
          <w:color w:val="auto"/>
        </w:rPr>
        <w:t>We file reports and other information with the Securities and Exchange Commission, or the SEC, as required by the Securities Exchange Act of 1934, as amended, which we refer to as the Exchange Act. You can review our electronically filed reports and other information that we file with the SEC on the SEC’s web site at http://www.sec.gov.</w:t>
      </w:r>
    </w:p>
    <w:p>
      <w:pPr>
        <w:spacing w:after="0" w:line="137"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Our website address is www.apellis.com.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spacing w:after="0" w:line="145"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8"/>
          <w:szCs w:val="18"/>
          <w:color w:val="auto"/>
        </w:rPr>
        <w:t>The foregoing references to our website are not intended to, nor shall they be deemed to, incorporate information on our website into this Annual Report on Form 10-K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Annual Report on Form 10-K and in other documents that we file with the Securities and Exchange Commission, or SEC, in evaluating our company and our business. Investing in our common stock involves a high degree of risk. If any of the following risks actually occur, our business, financial condition, results of operations and future growth prospects could be materially and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at least this year, and may never achieve or maintain profitability.</w:t>
      </w:r>
    </w:p>
    <w:p>
      <w:pPr>
        <w:spacing w:after="0" w:line="117"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We expect to continue to incur net operating losses for at least this year. Our net losses were $528.6 million, $652.2 million and $746.4 million for the years ended December 31, 2023, 2022 and 2021 respectively. As of December 31, 2023, we had an accumulated deficit of $2.8 billion. While we have begun to generate revenue from sales of SYFOVRE and EMPAVELI, we have primarily financed our operations to date through</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sale of our common stock in our public offerings, the sale of convertible notes, private placements of our preferred stock prior to our initial public offering, the development funding agreement with SFJ Pharmaceuticals Group, or SFJ, and the collaboration agreement with Swedish Orphan Biovitrum AB (Publ), or Sobi. We have devoted substantially all of our financial resources and efforts to research and development, including preclinical studies and our clinical trials across several disease indications, and the commercialization of SYFOVRE and EMPAVELI. Our operating results may fluctuate significantly from quarter to quarter and year to year. Net losses and negative cash flows have had, and will continue to have, an adverse effect on our stockholders’ equity and working capital.</w:t>
      </w:r>
    </w:p>
    <w:p>
      <w:pPr>
        <w:spacing w:after="0" w:line="15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at least this year. We anticipate that our expenses will continue to incur if and as we:</w:t>
      </w:r>
    </w:p>
    <w:p>
      <w:pPr>
        <w:spacing w:after="0" w:line="55" w:lineRule="exact"/>
        <w:rPr>
          <w:sz w:val="20"/>
          <w:szCs w:val="20"/>
          <w:color w:val="auto"/>
        </w:rPr>
      </w:pPr>
    </w:p>
    <w:p>
      <w:pPr>
        <w:ind w:left="1020" w:right="8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EMPAVELI for the treatment of PNH in the United States and commercialize SYFOVRE for the treatment of GA in the United States;</w:t>
      </w:r>
    </w:p>
    <w:p>
      <w:pPr>
        <w:spacing w:after="0" w:line="54" w:lineRule="exact"/>
        <w:rPr>
          <w:rFonts w:ascii="Times New Roman" w:cs="Times New Roman" w:eastAsia="Times New Roman" w:hAnsi="Times New Roman"/>
          <w:sz w:val="18"/>
          <w:szCs w:val="18"/>
          <w:color w:val="auto"/>
        </w:rPr>
      </w:pPr>
    </w:p>
    <w:p>
      <w:pPr>
        <w:ind w:left="1020" w:right="50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sales, marketing, distribution and other commercial infrastructure for EMPAVELI and SYFOVRE and any other products for which we may obtain marketing approval;</w:t>
      </w:r>
    </w:p>
    <w:p>
      <w:pPr>
        <w:spacing w:after="0" w:line="54" w:lineRule="exact"/>
        <w:rPr>
          <w:rFonts w:ascii="Times New Roman" w:cs="Times New Roman" w:eastAsia="Times New Roman" w:hAnsi="Times New Roman"/>
          <w:sz w:val="18"/>
          <w:szCs w:val="18"/>
          <w:color w:val="auto"/>
        </w:rPr>
      </w:pPr>
    </w:p>
    <w:p>
      <w:pPr>
        <w:ind w:left="1020" w:right="14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to submit additional applications for regulatory approval outside the United States and continue to build a commercial infrastructure for SYFOVRE for GA in the United States and worldwide;</w:t>
      </w:r>
    </w:p>
    <w:p>
      <w:pPr>
        <w:spacing w:after="0" w:line="54" w:lineRule="exact"/>
        <w:rPr>
          <w:rFonts w:ascii="Times New Roman" w:cs="Times New Roman" w:eastAsia="Times New Roman" w:hAnsi="Times New Roman"/>
          <w:sz w:val="18"/>
          <w:szCs w:val="18"/>
          <w:color w:val="auto"/>
        </w:rPr>
      </w:pPr>
    </w:p>
    <w:p>
      <w:pPr>
        <w:ind w:left="1020" w:right="24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systemic pegcetacoplan for the treatment of C3G and IC-MPGN and other of our product candidates;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preclinical and clinical development efforts for any future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for complement-dependent diseases;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 that successfully complete clinical trials, if any;</w:t>
      </w:r>
    </w:p>
    <w:p>
      <w:pPr>
        <w:spacing w:after="0" w:line="116" w:lineRule="exact"/>
        <w:rPr>
          <w:rFonts w:ascii="Times New Roman" w:cs="Times New Roman" w:eastAsia="Times New Roman" w:hAnsi="Times New Roman"/>
          <w:sz w:val="18"/>
          <w:szCs w:val="18"/>
          <w:color w:val="auto"/>
        </w:rPr>
      </w:pPr>
    </w:p>
    <w:p>
      <w:pPr>
        <w:ind w:left="1020" w:right="88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commercial quantities of our approved products and larger quantities of product candidates for clinical development and, potentially, commercialization;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and scientific personnel;</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help us comply with our obligations as a public company;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programs.</w:t>
      </w:r>
    </w:p>
    <w:p>
      <w:pPr>
        <w:spacing w:after="0" w:line="184" w:lineRule="exact"/>
        <w:rPr>
          <w:sz w:val="20"/>
          <w:szCs w:val="20"/>
          <w:color w:val="auto"/>
        </w:rPr>
      </w:pPr>
    </w:p>
    <w:p>
      <w:pPr>
        <w:jc w:val="both"/>
        <w:ind w:right="500" w:firstLine="509"/>
        <w:spacing w:after="0" w:line="255"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significant product revenue. Our ability to generate significant revenue will require us to successfully commercialize EMPAVELI and SYFOVRE in the approved jurisdictions. While we began to generate product revenue from sales of EMPAVELI in May 2021and SYFOVRE in March 2023, there can be no assurance that we will generate sufficient revenue to achieve profitability , and we may not achieve profitability for several years, if at all.</w:t>
      </w:r>
    </w:p>
    <w:p>
      <w:pPr>
        <w:spacing w:after="0" w:line="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successful commercialization of both products is subject to many risks. There are numerous examples of unsuccessful product launches and failures to meet expectations of market potential, including by pharmaceutical companies with more experience and resources than us. We do not anticipate our revenue from sales of EMPAVELI for the treatment of PNH alone will be sufficient for us to become profitable for several years, if at all. Our prospects depend primarily upon the commercial success of SYFOVRE.</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Successful commercialization will require manufacturing, marketing and selling our approved products,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our stockholders to lose all or part of their investment.</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obtained marketing approval for EMPAVELI for the treatment of PNH in the United States and for SYFOVRE for the treatment of GA in the United States but have not yet consistently demonstrated an ability to successfully conduct commercial activities.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We obtained our first marketing approval for the use of systemic pegcetacoplan to treat adult patients with PNH in the United States and began to sell EMPAVELI for the treatment of PNH in May 2021. Our collaborator Sobi obtained marketing approval in the European Union, Saudi Arabia and Australia for the use of pegcetacoplan to treat patients with PNH. We obtained marketing approval for the use of intravitreal pegcetacoplan to treat patients with GA in the United States in February 2023 and began to commercialize SYFOVRE in March 2023. Prior to obtaining these approvals, our operations were limited to financing and staffing our company, developing our technology, conducting preclinical research and clinical trials of our product candidates and preparing for a commercial launch. We have not yet consistently demonstrated an ability to conduct sales and marketing activities necessary for successful product commercialization. Accordingly, our stockholders should consider our prospects in light of the costs, uncertainties, delays and difficulties frequently encountered by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50"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need to continue to transition from a company with a development focus to a company capable of supporting commercial activities. We may not be successful in such a transition.</w:t>
      </w:r>
    </w:p>
    <w:p>
      <w:pPr>
        <w:spacing w:after="0" w:line="150"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our stockholders should not rely upon the results of any quarterly or annual periods as indications of future operating performance.</w:t>
      </w:r>
    </w:p>
    <w:p>
      <w:pPr>
        <w:spacing w:after="0" w:line="17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funding to allow us to support both our systemic and ophthalmological programs through clinical development and commercial launch, and if we are unable to raise capital when needed, we could be forced to delay, reduce or eliminate our product development programs or commercialization efforts.</w:t>
      </w:r>
    </w:p>
    <w:p>
      <w:pPr>
        <w:spacing w:after="0" w:line="133"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Developing and commercializing pharmaceutical products, including conducting preclinical studies and clinical trials and preparing for commercial launch, is a very time-consuming, expensive and uncertain process that takes years to complete. We have consumed substantial amounts of cash since our inception. For example, in the years ended December 31, 2023, 2022 and 2021, we used net cash of $594.7 million, $513.7 million and $563.1 million respectively, in our operating activities substantially all of which related to research and development activities. As of December 31, 2023, our cash and cash equivalents were $351.2 million. We expect our expenses to continue, particularly as we commercialize EMPAVELI and SYFOVRE, initiate new clinical trials and initiate new research and preclinical development efforts. In addition, as we commercialize EMPAVELI and SYFOVRE, and if we obtain marketing approval of pegcetacoplan in other indications or jurisdictions or for our other product candidates, we expect we will incur significant commercialization expenses related to product sales, marketing, manufacturing and distribution to the extent that such sales, marketing, manufacturing and distribution are not the responsibility of the collaborator. Furthermore, we continue to incur significant costs associated with operating as a public company.</w:t>
      </w:r>
    </w:p>
    <w:p>
      <w:pPr>
        <w:spacing w:after="0" w:line="13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2023 and the cash that we anticipate generating from the unwind of the capped call transactions,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55"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sell EMPAVELI and SYFOVRE in the United States;</w:t>
      </w:r>
    </w:p>
    <w:p>
      <w:pPr>
        <w:spacing w:after="0" w:line="116"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obtain regulatory approvals of SYFOVRE outside of the United States and to build a commercial infrastructure for SYFOVRE for GA in the United States and worldwide;</w:t>
      </w:r>
    </w:p>
    <w:p>
      <w:pPr>
        <w:spacing w:after="0" w:line="54" w:lineRule="exact"/>
        <w:rPr>
          <w:rFonts w:ascii="Times New Roman" w:cs="Times New Roman" w:eastAsia="Times New Roman" w:hAnsi="Times New Roman"/>
          <w:sz w:val="18"/>
          <w:szCs w:val="18"/>
          <w:color w:val="auto"/>
        </w:rPr>
      </w:pPr>
    </w:p>
    <w:p>
      <w:pPr>
        <w:ind w:left="1020" w:right="40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commercialization of EMPAVELI, systemic pegcetacoplan and SYFOVRE and any other products for which we receive marketing approval including product sales, medical affairs, marketing, manufacturing and distribution;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right="44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9"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If our cash,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sources of funds.</w:t>
      </w:r>
    </w:p>
    <w:p>
      <w:pPr>
        <w:spacing w:after="0" w:line="1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To the extent that we raise additional capital through the sale of common stock, convertible securities or other equity securities, the ownership interest of our then-existing stockholders may be diluted, and the terms of these securities could include liquidation or other preferences and anti-dilution protections that could adversely affect the rights of our common stockholders. In addition, additional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spacing w:after="0" w:line="145"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50"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2021 and 2022, we completed several privately negotiated exchanges with holders of our outstanding 3.5% senior convertible notes due 2026, or the Convertible Notes, under which we issued approximately 12.9 million shares of common stock in exchange for approximately $425.4 million in aggregate principal amount of Convertible Notes. The effective price per share of the common stock issued in the exchange transactions was lower than the trading price of our common stock on the Nasdaq Global Select Market at the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time of settlement of the exchanges. We may in the future exchange additional principal amount of our Convertible Notes and the effective price per share of the common stock may be lower than the trading price at such time.</w:t>
      </w:r>
    </w:p>
    <w:p>
      <w:pPr>
        <w:spacing w:after="0" w:line="136"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37"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substantial payments to SFJ pursuant to our development funding agreement as a result of receiving regulatory approval of EMPAVELI for the treatment of PNH. If we do not have sufficient funding or cash flow from our business to meet our payment obligations under the development funding agreement, SFJ could exercise its remedies as a holder of a first priority security interest in our assets and our business could be materially harmed.</w:t>
      </w:r>
    </w:p>
    <w:p>
      <w:pPr>
        <w:spacing w:after="0" w:line="138" w:lineRule="exact"/>
        <w:rPr>
          <w:sz w:val="20"/>
          <w:szCs w:val="20"/>
          <w:color w:val="auto"/>
        </w:rPr>
      </w:pPr>
    </w:p>
    <w:p>
      <w:pPr>
        <w:ind w:right="180" w:firstLine="509"/>
        <w:spacing w:after="0" w:line="272" w:lineRule="auto"/>
        <w:rPr>
          <w:sz w:val="20"/>
          <w:szCs w:val="20"/>
          <w:color w:val="auto"/>
        </w:rPr>
      </w:pPr>
      <w:r>
        <w:rPr>
          <w:rFonts w:ascii="Times New Roman" w:cs="Times New Roman" w:eastAsia="Times New Roman" w:hAnsi="Times New Roman"/>
          <w:sz w:val="17"/>
          <w:szCs w:val="17"/>
          <w:color w:val="auto"/>
        </w:rPr>
        <w:t>We are required to make substantial payments to SFJ pursuant to our development funding agreement as a result of obtaining regulatory approvals for EMPAVELI in the United States and the EU. We have paid SFJ a total of $94.0 million through December 31, 2023, and we are obligated to pay an aggregate of $366.0 million as of December 31, 2023 in eight semi-annual payments through December 31, 2027. Our ability to make these required payments depends on our future performance and the future performance of Sobi, which is subject to economic, financial, competitive and other factors beyond our control. Our business may not generate cash flow from operations in the future sufficient to meet our obligations under the development funding agreement. If we are unable to generate such cash flow or to obtain additional funding through public or private equity offerings, debt financings, collaborations and licensing arrangements or other sources on acceptable terms or at all, we could default on our payment obligations to SFJ.</w:t>
      </w:r>
    </w:p>
    <w:p>
      <w:pPr>
        <w:spacing w:after="0" w:line="148"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Our payment obligations to SFJ could have significant consequences for our security holders and our business, results of operations and financial condition by, among other things:</w:t>
      </w:r>
    </w:p>
    <w:p>
      <w:pPr>
        <w:spacing w:after="0" w:line="12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84" w:lineRule="exact"/>
        <w:rPr>
          <w:rFonts w:ascii="Times New Roman" w:cs="Times New Roman" w:eastAsia="Times New Roman" w:hAnsi="Times New Roman"/>
          <w:sz w:val="18"/>
          <w:szCs w:val="18"/>
          <w:color w:val="auto"/>
        </w:rPr>
      </w:pPr>
    </w:p>
    <w:p>
      <w:pPr>
        <w:ind w:left="760" w:right="4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meet our obligations under the development funding agreement, which will reduce the amount of cash available for other purposes; and</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84"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to SFJ, and our cash needs may increase in the future.</w:t>
      </w:r>
    </w:p>
    <w:p>
      <w:pPr>
        <w:spacing w:after="0" w:line="122"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We have granted SFJ a first priority security interest in all of our assets other than our intellectual property and the license agreements to which we are a party. If we are unable to meet our payment obligations to SFJ, SFJ may exercise its remedies as a holder of a first priority security interest, which would result in a loss of our assets and our business would be materially harmed.</w:t>
      </w:r>
    </w:p>
    <w:p>
      <w:pPr>
        <w:spacing w:after="0" w:line="17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limit the cash flow available for our operations, expose us to risks that could adversely affect our business, financial condition and results of operations and impair our ability to satisfy our obligations under the Convertible Notes.</w:t>
      </w:r>
    </w:p>
    <w:p>
      <w:pPr>
        <w:spacing w:after="0" w:line="131"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We had an aggregate of approximately $93.9 million principal amount of the Convertible Notes outstanding and held by third parties as of December 31, 2023.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64"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84"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84" w:lineRule="exact"/>
        <w:rPr>
          <w:rFonts w:ascii="Times New Roman" w:cs="Times New Roman" w:eastAsia="Times New Roman" w:hAnsi="Times New Roman"/>
          <w:sz w:val="18"/>
          <w:szCs w:val="18"/>
          <w:color w:val="auto"/>
        </w:rPr>
      </w:pPr>
    </w:p>
    <w:p>
      <w:pPr>
        <w:ind w:left="760" w:right="52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in exchange for upon conversion of the Convertible Notes; and</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66"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the Convertible Notes, and our cash needs may increase in the future.</w:t>
      </w:r>
    </w:p>
    <w:p>
      <w:pPr>
        <w:spacing w:after="0" w:line="13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the Convertible Notes will require a significant amount of cash, and we may not have sufficient cash flow from our business to make payments on the Convertible Notes.</w:t>
      </w:r>
    </w:p>
    <w:p>
      <w:pPr>
        <w:spacing w:after="0" w:line="117"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12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funds necessary to settle conversions of the Convertible Notes in cash or to repurchase the Convertible Notes upon a fundamental change, and our future debt may contain limitations on our ability to pay cash upon conversion or repurchase of the Convertible Notes.</w:t>
      </w:r>
    </w:p>
    <w:p>
      <w:pPr>
        <w:spacing w:after="0" w:line="13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Holders of the Convertible Notes have the right to require us to repurchase all or a portion of their Convertible Notes upon the occurrence of a fundamental change at a price equal to the principal amount of the Convertible Notes to be repurchased, plus accrued and unpaid interest. In addition,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Convertible Notes being converted.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conditional conversion feature of the Convertible Notes, if triggered, may adversely affect our financial condition.</w:t>
      </w:r>
    </w:p>
    <w:p>
      <w:pPr>
        <w:spacing w:after="0" w:line="18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the event a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One of the conditional conversion features of the Convertible Notes has been triggered from time and time at the end of fiscal quarters, including as of December 31, 2023, and a result the Convertible Notes are convertible at the option of the holders, in whole or in part, until March 31, 2024. Whether the Convertible Notes will be convertible in any future period will depend on the satisfaction of this condition or another conversion condition at such time. In addition, even if holders do not elect to convert their Convertible Notes during a period when the notes are convertible, we could be required under applicable accounting rules to reclassify all or a portion of the outstanding principal amount of the Convertible Notes as a current rather than long-term liability, which would result in a material reduction of our net working capital.</w:t>
      </w:r>
    </w:p>
    <w:p>
      <w:pPr>
        <w:spacing w:after="0" w:line="1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expect to issue a notice of full redemption of the $93.9 million of aggregate principal amount of the Convertible Notes on February 27, 2024. We expect that holders will elect to convert their Convertible Notes and that no Convertible Notes will be redeemed for cash. In the event that a holder delivers a conversion notice as provided in the indenture related to the Convertible Notes, we intend to settle conversions by delivering shares of common stock.</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accounts receivable, and any delays in collecting accounts receivable or the failure to collect accounts receivable could have a material adverse effect on our cash flows and results of operations.</w:t>
      </w:r>
    </w:p>
    <w:p>
      <w:pPr>
        <w:spacing w:after="0" w:line="140"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accounts receivable balance was $206.4 million as of December 31, 2023. While we monitor the financial performance and creditworthiness of our customers and provide reserves against trade receivables for expected credit losses that may result from a customer’s failure to pay, no assurances can be made that we will not experience delays in collecting payments, that we will collect the payments due to us or that our reserves will be sufficient. Any failures to receive cash payments due to us could have a material adverse effect on our results of operations and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Product Development</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the success of SYFOVRE and EMPAVELI and the successful development and commercialization of pegcetacoplan in other jurisdictions and disease indications. If we are unable to successfully commercialize SYFOVRE and EMPAVELI, or develop, obtain marketing approval for or successfully commercialize pegcetacoplan in other indications and jurisdictions, either alone or through a collaboration, or if we experience significant delays in doing so, our business could be harmed.</w:t>
      </w:r>
    </w:p>
    <w:p>
      <w:pPr>
        <w:spacing w:after="0" w:line="13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investing a significant portion of our efforts and financial resources to fund the commercialization of SYFOVRE and EMPAVELI and development of pegcetacoplan in other disease indications and jurisdictions. Our prospects are substantially dependent on our ability to successfully commercialize EMPAVELI in the United States and SYFOVRE worldwide. SYFOVRE is currently only approved in the United States. We cannot be certain that we will be able to obtain regulatory approval for, and successfully commercialize, SYFOVRE in any additional jurisdiction. We are also dependent on the success of pegcetacoplan in clinical development and our ability to obtain additional marketing approvals for pegcetacoplan in one or more other indications. Pursuant to our agreement with Sobi, we have granted to Sobi the exclusive right to commercialize systemic pegcetacoplan outside the United States. Our prospects are dependent on our ability, or that of Sobi or any future collaborator, to successfully commercialize EMPAVELI and to develop, obtain marketing approval for and successfully commercialize systemic pegcetacoplan in additional disease indications. All of our product candidates other than pegcetacoplan are in pre-clinical development.</w:t>
      </w:r>
    </w:p>
    <w:p>
      <w:pPr>
        <w:spacing w:after="0" w:line="145"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success of EMPAVELI in PNH, SYFOVRE in GA and pegcetacoplan in other disease indications will depend on several factors, including the following:</w:t>
      </w:r>
    </w:p>
    <w:p>
      <w:pPr>
        <w:spacing w:after="0" w:line="55" w:lineRule="exact"/>
        <w:rPr>
          <w:sz w:val="20"/>
          <w:szCs w:val="20"/>
          <w:color w:val="auto"/>
        </w:rPr>
      </w:pPr>
    </w:p>
    <w:p>
      <w:pPr>
        <w:ind w:left="1260" w:right="340" w:hanging="368"/>
        <w:spacing w:after="0" w:line="281"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of EMPAVELI in the United States and SYFOVRE worldwide, including establishing sales, marketing and distribution capabilities for EMPAVELI and SYFOVRE;</w:t>
      </w:r>
    </w:p>
    <w:p>
      <w:pPr>
        <w:spacing w:after="0" w:line="54" w:lineRule="exact"/>
        <w:rPr>
          <w:rFonts w:ascii="Times New Roman" w:cs="Times New Roman" w:eastAsia="Times New Roman" w:hAnsi="Times New Roman"/>
          <w:sz w:val="18"/>
          <w:szCs w:val="18"/>
          <w:color w:val="auto"/>
        </w:rPr>
      </w:pPr>
    </w:p>
    <w:p>
      <w:pPr>
        <w:ind w:left="1260" w:right="880" w:hanging="368"/>
        <w:spacing w:after="0" w:line="281"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of EMPAVELI in PNH, SYFOVRE in GA, pegcetacoplan in other indications, if approved, and other product candidates, if approved;</w:t>
      </w:r>
    </w:p>
    <w:p>
      <w:pPr>
        <w:spacing w:after="0" w:line="54"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recruitment of patients, enrollment in and completion of our ongoing and planned clinical trials;</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recruitment of patients, enrollment in and completion of additional clinical trials;</w:t>
      </w:r>
    </w:p>
    <w:p>
      <w:pPr>
        <w:spacing w:after="0" w:line="116" w:lineRule="exact"/>
        <w:rPr>
          <w:rFonts w:ascii="Times New Roman" w:cs="Times New Roman" w:eastAsia="Times New Roman" w:hAnsi="Times New Roman"/>
          <w:sz w:val="18"/>
          <w:szCs w:val="18"/>
          <w:color w:val="auto"/>
        </w:rPr>
      </w:pPr>
    </w:p>
    <w:p>
      <w:pPr>
        <w:ind w:left="1260" w:right="660" w:hanging="368"/>
        <w:spacing w:after="0" w:line="281"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EMA or any comparable foreign regulatory authority for marketing approval;</w:t>
      </w:r>
    </w:p>
    <w:p>
      <w:pPr>
        <w:spacing w:after="0" w:line="54" w:lineRule="exact"/>
        <w:rPr>
          <w:rFonts w:ascii="Times New Roman" w:cs="Times New Roman" w:eastAsia="Times New Roman" w:hAnsi="Times New Roman"/>
          <w:sz w:val="18"/>
          <w:szCs w:val="18"/>
          <w:color w:val="auto"/>
        </w:rPr>
      </w:pPr>
    </w:p>
    <w:p>
      <w:pPr>
        <w:ind w:left="1260" w:hanging="368"/>
        <w:spacing w:after="0" w:line="265"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 criteria and endpoints for our clinical trials and otherwise design our clinical trials such that the FDA, EMA, and other regulatory authorities will be able to determine the clinical efficacy and safety profile of any product candidates we may develop;</w:t>
      </w:r>
    </w:p>
    <w:p>
      <w:pPr>
        <w:spacing w:after="0" w:line="6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including approval of SYFOVRE from the EMA;</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suppliers and manufacturers of raw materials and drug intermediates;</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products that are appropriately packaged for sale;</w:t>
      </w:r>
    </w:p>
    <w:p>
      <w:pPr>
        <w:spacing w:after="0" w:line="116" w:lineRule="exact"/>
        <w:rPr>
          <w:rFonts w:ascii="Times New Roman" w:cs="Times New Roman" w:eastAsia="Times New Roman" w:hAnsi="Times New Roman"/>
          <w:sz w:val="18"/>
          <w:szCs w:val="18"/>
          <w:color w:val="auto"/>
        </w:rPr>
      </w:pPr>
    </w:p>
    <w:p>
      <w:pPr>
        <w:ind w:left="1260" w:right="720" w:hanging="368"/>
        <w:spacing w:after="0" w:line="281"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pegcetacoplan drug product from third-party manufacturers of sufficient quality to be used in our clinical trials and for commercial sale;</w:t>
      </w:r>
    </w:p>
    <w:p>
      <w:pPr>
        <w:spacing w:after="0" w:line="54" w:lineRule="exact"/>
        <w:rPr>
          <w:rFonts w:ascii="Times New Roman" w:cs="Times New Roman" w:eastAsia="Times New Roman" w:hAnsi="Times New Roman"/>
          <w:sz w:val="18"/>
          <w:szCs w:val="18"/>
          <w:color w:val="auto"/>
        </w:rPr>
      </w:pPr>
    </w:p>
    <w:p>
      <w:pPr>
        <w:ind w:left="1260" w:right="160" w:hanging="368"/>
        <w:spacing w:after="0" w:line="281"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 or cGMPs;</w:t>
      </w:r>
    </w:p>
    <w:p>
      <w:pPr>
        <w:spacing w:after="0" w:line="54"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Sobi and any future collaborators;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260" w:hanging="368"/>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 and</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including clinical development, the regulatory submission process, potential threats to our intellectual property rights and the manufacturing, marketing and sales efforts of our collaborators, including Sobi. If we are unable to successfully commercialize EMPAVELI in the United States for PNH, SYFOVRE worldwide for GA, or to develop, receive marketing approval for and successfully commercialize pegcetacoplan in other indications or jurisdictions on our own or with a collaborator, or experience delays as a result of any of these factors or otherwise, our business could be substantially harmed.</w:t>
      </w:r>
    </w:p>
    <w:p>
      <w:pPr>
        <w:spacing w:after="0" w:line="178"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8"/>
          <w:szCs w:val="18"/>
          <w:b w:val="1"/>
          <w:bCs w:val="1"/>
          <w:i w:val="1"/>
          <w:iCs w:val="1"/>
          <w:color w:val="auto"/>
        </w:rPr>
        <w:t>We or others may later discover that EMPAVELI or SYFOVRE is less effective than previously believed or causes safety issues that were not previously identified, which could compromise our ability, or that of our collaborators, to market the product.</w:t>
      </w:r>
    </w:p>
    <w:p>
      <w:pPr>
        <w:spacing w:after="0" w:line="104" w:lineRule="exact"/>
        <w:rPr>
          <w:sz w:val="20"/>
          <w:szCs w:val="20"/>
          <w:color w:val="auto"/>
        </w:rPr>
      </w:pPr>
    </w:p>
    <w:p>
      <w:pPr>
        <w:ind w:right="160" w:firstLine="509"/>
        <w:spacing w:after="0" w:line="276" w:lineRule="auto"/>
        <w:rPr>
          <w:sz w:val="20"/>
          <w:szCs w:val="20"/>
          <w:color w:val="auto"/>
        </w:rPr>
      </w:pPr>
      <w:r>
        <w:rPr>
          <w:rFonts w:ascii="Times New Roman" w:cs="Times New Roman" w:eastAsia="Times New Roman" w:hAnsi="Times New Roman"/>
          <w:sz w:val="17"/>
          <w:szCs w:val="17"/>
          <w:color w:val="auto"/>
        </w:rPr>
        <w:t>Clinical trials of our product candidates are conducted in carefully defined sets of patients who have agreed to enter into clinical trials. Consequently, it is possible that our clinical trials, or those of our collaborators, may indicate an apparent positive effect of a product candidate that is greater than the actual positive effect, if any, or alternatively fail to identify safety issues that may be observed once the product has been commercialized. If safety problems occur or are identified after EMPAVELI or SYFOVRE or one of our products, if any, reaches the market, the FDA or comparable non-U.S. regulatory authorities may require that we amend the labeling of our product, recall our product, or even withdraw approval for our product.</w:t>
      </w:r>
    </w:p>
    <w:p>
      <w:pPr>
        <w:spacing w:after="0" w:line="13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small number of patients treated with SYFOVRE in the real world have experienced retinal vasculitis, a severe form of intraocular inflammation. All suspected retinal vasculitis events reported to us are independently evaluated and adjudicated by two external sources: a panel of four retina/uveitis experts and an independent reading center as well as our internal safety and medical teams. We continue to work with the retinal community to investigate potential contributing factors. We plan to continue to submit all adverse events reported to us to the FDA consistent with reporting guidelines for drug manufacturers.</w:t>
      </w:r>
    </w:p>
    <w:p>
      <w:pPr>
        <w:spacing w:after="0" w:line="14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cannot provide any assurances that the FDA and the retinal community will believe that the expected benefits of SYFOVRE treatment outweigh its potential risks to patients in light of these reported events or other events that might arise or that our applications for marketing approval of SYFOVRE in other jurisdictions will not be adversely impacted by these events. A change in the perception of the benefit/risk profile of SYFOVRE may reduce market acceptance of the product and our product revenues may be adversely affected.</w:t>
      </w:r>
    </w:p>
    <w:p>
      <w:pPr>
        <w:spacing w:after="0" w:line="155"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If, following approval of a product candidate, we, or others, discover that the product is less effective than previously believed or causes safety issues that were not previously identified, such as the reported events of retinal vasculitis following SYFOVRE treatment, any of the following events could occur:</w:t>
      </w:r>
    </w:p>
    <w:p>
      <w:pPr>
        <w:spacing w:after="0" w:line="69"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patient population may be less willing to try, and physicians may be less willing to prescribe, the product;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6"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change the way the product is administered or conduct additional clinical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create a Medication Guide outlining the risks of the previously unidentified side effects for distribution to patients;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affect sales of our products and negatively impact our stock price.</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degree of market acceptance by physicians, patients, third-party payors and others in the medical community necessary for commercial success, of EMPAVELI or SYFOVRE, in which case we may not generate significant revenues or become profitable, and the market opportunity for these products may be smaller than we estimate.</w:t>
      </w:r>
    </w:p>
    <w:p>
      <w:pPr>
        <w:spacing w:after="0" w:line="133"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We may fail to gain sufficient market acceptance by physicians, patients, third-party payors and others in the medical community necessary for commercial success of EMPAVELI or SYFOVRE.</w:t>
      </w:r>
    </w:p>
    <w:p>
      <w:pPr>
        <w:spacing w:after="0" w:line="136"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A key part of our commercial strategy for EMPAVELI is targeting at switching patients from treatment with eculizumab or ravulizumab to EMPAVELI.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41"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and product candidates may require significant resources and may not be successful. If EMPAVELI, SYFOVRE, or any of our product candidates for which we obtain marketing approval do achieve an adequate level of market acceptance, we may not generate significant revenues and we may not become profitable. The degree of market acceptance of EMPAVELI, SYFOVRE, or our other product candidates for which we obtain marketing approval, will depend on a number of factors, including:</w:t>
      </w:r>
    </w:p>
    <w:p>
      <w:pPr>
        <w:spacing w:after="0" w:line="74"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product is offered for sale;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potential market opportunity for EMPAVELI in PNH, SYFOVRE in GA, or in any other indication is difficult to precisely estimate. Our estimates of the potential market opportunity for EMPAVELI in PNH, SYFOVRE in GA, or in other indications include several key assumptions based on our industry knowledge, industry publications, third-party research reports and other surveys. However, no independent source has verified such assumptions. If any of these assumptions proves to be inaccurate, then the actual market for EMPAVELI in PNH, SYFOVRE in GA, or any other indication could be smaller than our estimates of potential market opportunity. If the actual market for EMPAVELI in PNH, SYFOVRE in GA, in other indications is smaller than we expect, our product revenue may be limited, and it may be more difficult for us to achieve or maintain profitability.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4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as described in “Business - Competition,” above. We face significant competition with respect to each of EMPAVELI and SYFOVRE. We expect that we, and our collaborators, will face significant competition from major pharmaceutical companies, specialty pharmaceutical companies and biotechnology companies worldwide with respect to any of our product candidates that we, or our collaborators, may seek to develop or commercialize in the future, including from therapies that act through the complement system and therapies that use different approaches.</w:t>
      </w:r>
    </w:p>
    <w:p>
      <w:pPr>
        <w:spacing w:after="0" w:line="155"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Our competitors may succeed in developing, acquiring or licensing technologies and products that are more effective, have fewer side effects or more tolerable side effects or are less costly than EMPAVELI, SYFOVRE, or any product candidates that we are currently developing or that we may develop, which could render EMPAVELI, SYFOVRE, or our product candidates obsolete and noncompetitive.</w:t>
      </w:r>
    </w:p>
    <w:p>
      <w:pPr>
        <w:spacing w:after="0" w:line="13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EMPAVELI targets a market that is already served by a competitor with significantly greater financial resources than us. The principal competitors for EMPAVELI for the treatment of PNH, are eculizumab (marketed as Soliris) and ravulizumab (marketed as Ultomiris), C5 inhibitors developed and marketed by Alexion AstraZeneca Rare Disease, or AstraZeneca. Furthermore, in December 2023, the FDA approved iptacopan (marketed as Fabhalta), an orally administered factor B inhibitor developed by Novartis, for the treatment of PNH. This product may have a competitive advantage if prescribers and patients prefer to utilize an oral medication rather than an injected medication. Prior to the approval of EMPAVELI, eculizumab and ravulizumab were the only drugs approved for the treatment of PNH. These products have widespread acceptance among clinicians, patients and payors. Eculizumab and ravulizumab may also compete with EMPAVELI in other indications in our systemic programs. In 2022, AstraZeneca also obtained approval for a subcutaneous version of ravulizumab, currently in phase 3 clinical trial.</w:t>
      </w:r>
    </w:p>
    <w:p>
      <w:pPr>
        <w:spacing w:after="0" w:line="149"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SYFOVRE was the first approved product in the United States for the treatment of GA. In August 2023, the FDA approved avacincaptad pegol (marketed as Izervay), a complement C5 inhibitor developed by Astellas Pharma Inc., for the treatment of GA.</w:t>
      </w:r>
    </w:p>
    <w:p>
      <w:pPr>
        <w:spacing w:after="0" w:line="13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marketing approval for their products before we, or our collaborators, are able to obtain approval for ours, which could result in our competitors establishing a strong market position before we, or our collaborators, are able to enter the market.</w:t>
      </w:r>
    </w:p>
    <w:p>
      <w:pPr>
        <w:spacing w:after="0" w:line="14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spacing w:after="0" w:line="18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satisfactorily demonstrate safety and efficacy to the FDA and other regulators, we, may incur additional costs or experience delays in completing, or ultimately be unable to complete, the development and commercialization of these product candidates.</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have received approval for SYFOVRE for the treatment of patients with GA in the United States, but there is no assurance that we will receive regulatory approvals for SYFOVRE for the treatment of GA in other jurisdictions. For example, in January 2024, the CHMP of the EMA adopted a negative opinion on the MAA for SYFOVRE in the European Union. While we are seeking re-examination of the MAA, we cannot be certain that such re-examination will be successful, and we may be required to conduct additional clinical trials of SYFOVRE in order to obtain marketing approval in the European Union. Because regulators in other jurisdictions, including those in the Access Consortium countries (including the United Kingdom, Switzerland, Australia and Canada) are influenced by decisions of the FDA and the EMA, negative opinion by the FDA or the EMA may adversely impact the prospects for approval in other jurisdictions. We have received approval for EMPAVELI for the treatment of patients with PNH in several jurisdictions, but there is no assurance that we will receive regulatory approvals for EMPAVELI in other indications.</w:t>
      </w:r>
    </w:p>
    <w:p>
      <w:pPr>
        <w:spacing w:after="0" w:line="164"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w:t>
      </w:r>
    </w:p>
    <w:p>
      <w:pPr>
        <w:spacing w:after="0" w:line="159" w:lineRule="exact"/>
        <w:rPr>
          <w:sz w:val="20"/>
          <w:szCs w:val="20"/>
          <w:color w:val="auto"/>
        </w:rPr>
      </w:pPr>
    </w:p>
    <w:p>
      <w:pPr>
        <w:jc w:val="both"/>
        <w:ind w:right="120" w:firstLine="562"/>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Moreover, if we are required to conduct additional clinical trials or other testing of our product candidates beyond the trials and testing that we contemplate, if we are unable to successfully complete clinical trials of our product candidates or other testing or the results of these trials or tests are unfavorable, uncertain or are only modestly favorable, or there are unacceptable safety concerns associated with our product candidates, we may:</w:t>
      </w:r>
    </w:p>
    <w:p>
      <w:pPr>
        <w:spacing w:after="0" w:line="7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020" w:right="700" w:hanging="503"/>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84"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Under our collaboration with Sobi, we are relying on Sobi to conduct certain clinical trials of systemic pegcetacoplan and seek regulatory approval for systemic pegcetacoplan outside the United States. If Sobi or any future collaborator are unable to successfully complete clinical trials of our product candidates and obtain regulatory approvals on a timely basis, or at all, our ability to generate revenues from product sales, regulatory and commercialization milestones and royalties may be materially impaired.</w:t>
      </w:r>
    </w:p>
    <w:p>
      <w:pPr>
        <w:spacing w:after="0" w:line="14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investigators for our clinical trials and other service providers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w:t>
      </w:r>
    </w:p>
    <w:p>
      <w:pPr>
        <w:spacing w:after="0" w:line="160"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15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any of our product candidates may be identified during clinical development that could delay or prevent their marketing approval or limit their use.</w:t>
      </w:r>
    </w:p>
    <w:p>
      <w:pPr>
        <w:spacing w:after="0" w:line="117" w:lineRule="exact"/>
        <w:rPr>
          <w:sz w:val="20"/>
          <w:szCs w:val="20"/>
          <w:color w:val="auto"/>
        </w:rPr>
      </w:pPr>
    </w:p>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Adverse events or undesirable side effects caused by, or other unexpected properties of, our product candidates could cause us, or any collaborator conducting clinical trials of our product candidates such as Sobi,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pegcetacoplan has immunosuppressive effects and, in some cases, may be administered to patients with underlying significantly compromised health. Administration of our product candidates could make patients more susceptible to infection.</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In our Phase 3 trials of pegcetacoplan in patients with GA, the most common adverse reactions (≥ 5%) reported in patients receiving SYFOVRE were ocular discomfort, neovascular AMD, vitreous floaters, and conjunctival hemorrhage. Rates of ischemic optic neuropathy events were higher in the monthly group as compared to the every-other-month and sham groups. The rate and severity of endophthalmitis and intraocular inflammation were generally in line with reported studies of other intravitreal therapies.</w:t>
      </w:r>
    </w:p>
    <w:p>
      <w:pPr>
        <w:spacing w:after="0" w:line="15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is associated with adverse events or undesirable side effects or has properties that are unexpected, we, or our collaborators, may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r>
        <w:rPr>
          <w:rFonts w:ascii="Times New Roman" w:cs="Times New Roman" w:eastAsia="Times New Roman" w:hAnsi="Times New Roman"/>
          <w:sz w:val="18"/>
          <w:szCs w:val="18"/>
          <w:i w:val="1"/>
          <w:iCs w:val="1"/>
          <w:color w:val="auto"/>
        </w:rPr>
        <w:t>.</w:t>
      </w:r>
    </w:p>
    <w:p>
      <w:pPr>
        <w:spacing w:after="0" w:line="14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w:t>
      </w:r>
    </w:p>
    <w:p>
      <w:pPr>
        <w:spacing w:after="0" w:line="17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such as Sobi,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33"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We, or our collaborators, may experience numerous unforeseen events during, or as a result of, clinical trials that could delay or prevent clinical development, marketing approval or commercialization of our product candidates, including:</w:t>
      </w:r>
    </w:p>
    <w:p>
      <w:pPr>
        <w:spacing w:after="0" w:line="55"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or inconclusive results;</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decide, or regulators may require us or them,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or our collaborators, anticipate, patient enrollment in these clinical trials may be slower than we, or our collaborators, anticipate or participants may drop out of these clinical trials at a higher rate than we, or our collaborators, anticipate;</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of our product candidates may be greater than we anticipate;</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or those of our collaborators, including those manufacturing our product candidates or components or ingredients thereof or conducting clinical trials on our behalf or on behalf of our collaborators, may deviate from the trial protocol, fail to comply with regulatory requirements or fail to meet their contractual obligations to us or our collaborators in a timely manner or at all;</w:t>
      </w:r>
    </w:p>
    <w:p>
      <w:pPr>
        <w:spacing w:after="0" w:line="69" w:lineRule="exact"/>
        <w:rPr>
          <w:rFonts w:ascii="Times New Roman" w:cs="Times New Roman" w:eastAsia="Times New Roman" w:hAnsi="Times New Roman"/>
          <w:sz w:val="18"/>
          <w:szCs w:val="18"/>
          <w:color w:val="auto"/>
        </w:rPr>
      </w:pPr>
    </w:p>
    <w:p>
      <w:pPr>
        <w:ind w:left="1020" w:right="22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our collaborators or our or their investigators to commence a clinical trial or conduct a clinical trial at a prospective trial site;</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delays in reaching or fail to reach agreement on acceptable clinical trial contracts or clinical trial protocols with prospective trial sites;</w:t>
      </w:r>
    </w:p>
    <w:p>
      <w:pPr>
        <w:spacing w:after="0" w:line="54" w:lineRule="exact"/>
        <w:rPr>
          <w:rFonts w:ascii="Times New Roman" w:cs="Times New Roman" w:eastAsia="Times New Roman" w:hAnsi="Times New Roman"/>
          <w:sz w:val="18"/>
          <w:szCs w:val="18"/>
          <w:color w:val="auto"/>
        </w:rPr>
      </w:pPr>
    </w:p>
    <w:p>
      <w:pPr>
        <w:ind w:left="1020" w:right="100" w:hanging="503"/>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69" w:lineRule="exact"/>
        <w:rPr>
          <w:rFonts w:ascii="Times New Roman" w:cs="Times New Roman" w:eastAsia="Times New Roman" w:hAnsi="Times New Roman"/>
          <w:sz w:val="18"/>
          <w:szCs w:val="18"/>
          <w:color w:val="auto"/>
        </w:rPr>
      </w:pPr>
    </w:p>
    <w:p>
      <w:pPr>
        <w:ind w:left="1020" w:right="60" w:hanging="503"/>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w:t>
      </w:r>
    </w:p>
    <w:p>
      <w:pPr>
        <w:spacing w:after="0" w:line="69"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3" w:lineRule="exact"/>
        <w:rPr>
          <w:rFonts w:ascii="Times New Roman" w:cs="Times New Roman" w:eastAsia="Times New Roman" w:hAnsi="Times New Roman"/>
          <w:sz w:val="18"/>
          <w:szCs w:val="18"/>
          <w:color w:val="auto"/>
        </w:rPr>
      </w:pPr>
    </w:p>
    <w:p>
      <w:pPr>
        <w:ind w:left="1020" w:right="540" w:hanging="50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or our collaborators’, clinical trial designs or our or their interpretation of data from preclinical studies and clinical trials;</w:t>
      </w:r>
    </w:p>
    <w:p>
      <w:pPr>
        <w:spacing w:after="0" w:line="54" w:lineRule="exact"/>
        <w:rPr>
          <w:rFonts w:ascii="Times New Roman" w:cs="Times New Roman" w:eastAsia="Times New Roman" w:hAnsi="Times New Roman"/>
          <w:sz w:val="18"/>
          <w:szCs w:val="18"/>
          <w:color w:val="auto"/>
        </w:rPr>
      </w:pPr>
    </w:p>
    <w:p>
      <w:pPr>
        <w:ind w:left="1020" w:right="360" w:hanging="503"/>
        <w:spacing w:after="0" w:line="312"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fail to approve or subsequently find fault with the manufacturing processes or facilities of third-party manufacturers with which we, or our collaborators, enter into agreements for clinical and commercial supplies;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right="120" w:hanging="503"/>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drug intermediates or manufactured product candidates, other products evaluated in our clinical trials or other materials necessary to conduct clinical trials of our product candidates may be insufficient, inadequate or not available at an acceptable cost, or we may experience interruptions in supply; and</w:t>
      </w:r>
    </w:p>
    <w:p>
      <w:pPr>
        <w:spacing w:after="0" w:line="69" w:lineRule="exact"/>
        <w:rPr>
          <w:rFonts w:ascii="Times New Roman" w:cs="Times New Roman" w:eastAsia="Times New Roman" w:hAnsi="Times New Roman"/>
          <w:sz w:val="18"/>
          <w:szCs w:val="18"/>
          <w:color w:val="auto"/>
        </w:rPr>
      </w:pPr>
    </w:p>
    <w:p>
      <w:pPr>
        <w:ind w:left="1020" w:right="60" w:hanging="503"/>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to obtain marketing approval.</w:t>
      </w:r>
    </w:p>
    <w:p>
      <w:pPr>
        <w:spacing w:after="0" w:line="12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our collaborators, may have the exclusive right to commercialize our product candidates or allow our competitors, or the competitors of our collaborators, to bring products to market before we, or our collaborators, do and impair our ability, or the ability of our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collaborator conducting clinical trials of any of our product candidates such as Sobi, experience delays or difficulties in the enrollment of patients in clinical trials, our or their receipt of necessary regulatory approvals could be delayed or prevented.</w:t>
      </w:r>
    </w:p>
    <w:p>
      <w:pPr>
        <w:spacing w:after="0" w:line="13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w:t>
      </w:r>
    </w:p>
    <w:p>
      <w:pPr>
        <w:spacing w:after="0" w:line="6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6" w:lineRule="exact"/>
        <w:rPr>
          <w:rFonts w:ascii="Times New Roman" w:cs="Times New Roman" w:eastAsia="Times New Roman" w:hAnsi="Times New Roman"/>
          <w:sz w:val="18"/>
          <w:szCs w:val="18"/>
          <w:color w:val="auto"/>
        </w:rPr>
      </w:pPr>
    </w:p>
    <w:p>
      <w:pPr>
        <w:ind w:left="1020" w:right="80" w:hanging="503"/>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22"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For example, in January 2024, we and Sobi agreed to cease clinical development of systemic pegcetacoplan for patients with CAD due to the decreased medical need in CAD and the limited number of patients eligible for the CASCADE trial.</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of the indications for which we are developing product candidates are rare diseases with small patient populations, and many of those patients are treated with other therapies or products. Further, there are only a limited number of specialist physicians that regularly treat patients with these rare diseases and major clinical centers that support such treatment are concentrated in a few geographic regions. In addition, other companies are conducting clinical trials and have announced plans for future clinical trials that are seeking, or are likely to seek, to enroll patients with these rare diseases and patients are generally only able to enroll in a single trial at a time. Both patients and their physicians may be reluctant to forgo, discontinue or otherwise alter existing, approved life-saving therapeutic approaches. Given the severe and life-threatening nature of these indications and the expectation that many patients will be on treatment with other therapies or products, we may encounter difficulty in recruiting a sufficient number of patients for our trials including in particular our planned clinical trials. The small population of patients, competition for these patients, the nature of the disease and limited trial sites may make it difficult for us to enroll enough patients to complete our clinical trials of pegcetacoplan in a timely and cost-effective manner.</w:t>
      </w:r>
    </w:p>
    <w:p>
      <w:pPr>
        <w:spacing w:after="0" w:line="15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Our inability, or the inability of our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our collaborators’, ability to commence sales of and generate</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our product candidates, which could cause the value of our company to decline and limit our ability to obtain additional financing, if needed.</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Phase 1 and Phase 2 clinical trials may not be predictive of results of later clinical trials and preliminary or interim results of clinical trials do not necessarily predict final results.</w:t>
      </w:r>
    </w:p>
    <w:p>
      <w:pPr>
        <w:spacing w:after="0" w:line="13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Similarly, the design of a clinical trial can determine whether its results will support approval of a product and flaws in the design of a clinical trial may not become apparent until the clinical trial is well advanced.</w:t>
      </w:r>
    </w:p>
    <w:p>
      <w:pPr>
        <w:spacing w:after="0" w:line="140"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our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4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the development and commercialization of pegcetacoplan is our primary focus, as part of our growth strategy, we are developing a pipeline of product candidates for the treatment of complement-dependent diseases.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7"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3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7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commercial launch of EMPAVELI in the United States for PNH and of SYFOVRE in the United States for GA, for each of which we recruited a sales force and established marketing, market access and medical affairs teams and distribution capabilities is not successful for any reason, we could incur substantial costs and our investment would be lost if we cannot retain or reposition our sales, marketing, market access and medical affairs personnel.</w:t>
      </w:r>
    </w:p>
    <w:p>
      <w:pPr>
        <w:spacing w:after="0" w:line="152"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To achieve commercial success for EMPAVELI and SYFOVRE, we have expended and anticipate that we will continue to expend significant resources to support our sales force, marketing, market access and medical affairs teams and distribution capabilities. There are risks involved with establishing our own sales, marketing, distribution, training and support capabilities. For example, recruiting and training sales and marketing personnel is expensive and time consuming and could delay our ability to focus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on other priorities. If the commercial launch of EMPAVELI or SYFOVRE is not successful for any reason, this would be costly, and our investment would be lost if we cannot retain or reposition our sales, marketing, market access and medical affairs personnel or terminate on favorable terms any agreements entered into with third parties to support our commercialization efforts.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EMPAVELI or SYFOVRE on our own in the United States include:</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train and retain adequate numbers of effective sales, marketing, training and support personnel;</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including key opinion leaders, or to educate an adequate number of physicians of</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EMPAVELI or SYFOVRE over alternative treatment options;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or integrated product offerings; and</w:t>
      </w:r>
    </w:p>
    <w:p>
      <w:pPr>
        <w:spacing w:after="0" w:line="116" w:lineRule="exact"/>
        <w:rPr>
          <w:rFonts w:ascii="Times New Roman" w:cs="Times New Roman" w:eastAsia="Times New Roman" w:hAnsi="Times New Roman"/>
          <w:sz w:val="18"/>
          <w:szCs w:val="18"/>
          <w:color w:val="auto"/>
        </w:rPr>
      </w:pPr>
    </w:p>
    <w:p>
      <w:pPr>
        <w:ind w:left="1020" w:right="860" w:hanging="503"/>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establishing and maintaining an independent sales, marketing, training and support organization.</w:t>
      </w:r>
    </w:p>
    <w:p>
      <w:pPr>
        <w:spacing w:after="0" w:line="122"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If our salesforce, marketing, market access and medical affairs teams and distribution capabilities fail, or are otherwise unsuccessful, it would materially adversely impact the commercial launch of EMPAVELI or SYFOVRE, impact our ability to generate revenue and harm our business.</w:t>
      </w:r>
    </w:p>
    <w:p>
      <w:pPr>
        <w:spacing w:after="0" w:line="135"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EMPAVELI, SYFOVRE, pegcetacoplan in other indications or any of our other product candidates for which we obtain marketing approval.</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built a sales, marketing and distribution infrastructure in the United States to support commercialization of EMPAVELI and SYFOVRE.</w:t>
      </w:r>
    </w:p>
    <w:p>
      <w:pPr>
        <w:spacing w:after="0" w:line="19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building focused capabilities to commercialize SYFOVRE in GA and EMPAVELI in PNH and other indications where we believe that the medical specialists for such indications are sufficiently concentrated to allow us to effectively promote the product with a targeted sales team. The development of sales, marketing and distribution capabilities requires substantial resources, is time-consuming and could delay any product launch.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4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4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EMPAVELI, SYFOVRE, or our other product candidates that receive marketing approval.</w:t>
      </w:r>
    </w:p>
    <w:p>
      <w:pPr>
        <w:spacing w:after="0" w:line="13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granted exclusive commercialization rights for systemic pegcetacoplan outside of the United States to Sobi under our agreement with Sobi. If Sobi is unable to meet its contractual obligations, we may be forced to focus our efforts internally to commercialize systemic pegcetacoplan outside of the United States without the assistance of a commercialization partner or seek another commercialization partner, either of which would result in us incurring greater expenses and could cause a delay in market penetration while we expand our commercial operations or seek an alternative commercialization partner. Such costs may exceed the increased revenues we would receive from direct systemic pegcetacoplan sales outside of the United States, at least in the near term. We would also be forced to declare a breach of the agreement with Sobi and seek a termination of the agreement which could result in an extended and uncertain dispute with Sobi, including arbitration or litigation, any of which would be costly.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4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an ANDA in the United States. In support of an abbreviated new drug application, or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51"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5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EMPAVELI, SYFOVRE, or any product candidate that we or any collaborator, such as Sobi, commercialize may become subject to unfavorable pricing regulations, third-party payor reimbursement practices or healthcare reform initiatives, any of which could harm our business.</w:t>
      </w:r>
    </w:p>
    <w:p>
      <w:pPr>
        <w:spacing w:after="0" w:line="11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The commercial success of EMPAVELI, SYFOVRE, or any our product candidates that we or any collaborator, such as Sobi, commercialize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our collaborators, may not be able to successfully commercialize EMPAVELI, SYFOVRE, or any other product candidates. Even if coverage is provided, the approved reimbursement amount may not be high enough to allow us, or our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To obtain reimbursement or pricing approval in some countries, we may be required to conduct a clinical trial that compares the cost-effectiveness of our product or product candidate to other available therapies. Adverse pricing limitations may hinder our ability or the ability of our collaborators to recoup our or their investment in one or more products or product candidates, even if our product candidates obtain marketing approval.</w:t>
      </w:r>
    </w:p>
    <w:p>
      <w:pPr>
        <w:spacing w:after="0" w:line="148"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and the ability of our collaborators, to commercialize EMPAVELI, SYFOVRE, or any of our product candidates will depend in part on the extent to which coverage and reimbursement for these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our collaborators to sell EMPAVELI, SYFOVRE, or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Cost-control initiatives could cause us, or our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4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commercial potential of our products depends in part on reimbursement by government health administration authorities, private health insurers and other organizations. If we, or any collaborator that is commercializing our product candidates such as Sobi are unable to obtain coverage or reimbursement for our products, as monotherapy or in combination with other therapies, including possible combinations with eculizumab or ravulizumab, at the levels anticipated, our financial condition could be harmed. Additionally, if new compounds currently in development by potential competitors, including biosimilars of eculizumab or ravulizumab, obtain marketing approval, there may be downward pressure on reimbursement levels for therapies in our target disease areas, which could have a negative impact on our ability to achieve and maintain profitability.</w:t>
      </w:r>
    </w:p>
    <w:p>
      <w:pPr>
        <w:spacing w:after="0" w:line="14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such as EMPAVELI, SYFOVRE, and coverage may be more limited for EMPAVELI and SYFOVRE than the indication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4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collaborator, including Sobi,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our collaborator, obtain marketing approval could significantly harm our operating results, our ability to raise capital needed to commercialize products and our overall financial condition.</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EMPAVELI, SYFOVRE, and any other products that we may develop.</w:t>
      </w:r>
    </w:p>
    <w:p>
      <w:pPr>
        <w:spacing w:after="0" w:line="13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commercial sale of EMPAVELI and SYFOVRE, and the clinical testing of our product candidates despite obtaining appropriate informed consents from our clinical trial participants.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79"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EMPAVELI, SYFOVRE, and any other product candidates that we may develop;</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6" w:lineRule="exact"/>
        <w:rPr>
          <w:rFonts w:ascii="Times New Roman" w:cs="Times New Roman" w:eastAsia="Times New Roman" w:hAnsi="Times New Roman"/>
          <w:sz w:val="18"/>
          <w:szCs w:val="18"/>
          <w:color w:val="auto"/>
        </w:rPr>
      </w:pPr>
    </w:p>
    <w:p>
      <w:pPr>
        <w:ind w:left="5540" w:right="2120" w:hanging="5024"/>
        <w:spacing w:after="0" w:line="406" w:lineRule="auto"/>
        <w:tabs>
          <w:tab w:leader="none" w:pos="10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EMPAVELI, SYFOVRE, or any other products that we may develop.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maintain product liability and clinical trial insurance coverage in the amount of up to $50.0 million in the aggregate, this insurance may not fully cover potential liabilities that we may incur. The cost of any litigation or other proceeding, even if resolved in our favor, could be substantial. We may need to increase our insurance coverage as we continue to commercialize EMPAVELI, SYFOVRE, and commercialize any other product candidate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EMPAVELI, SYFOVRE, and our other product candidates, which could harm our business, financial condition, results of operations and prospects.</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contractors, consultants, vendors, business partners or other third parties, may fail or suffer security breaches,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to operate our business. In the ordinary course of business, we collect, store and transmit large amounts of confidential information, including personal information and information relating to intellectual property, on internal information systems and through the information systems of our contractors, consultants, vendors, business partners or other third parties. It is critical that we, our vendors, collaborators or other contractors or consultants, do so in a secure manner to maintain the availability, security, confidentiality, privacy and integrity of such confidential information.</w:t>
      </w:r>
    </w:p>
    <w:p>
      <w:pPr>
        <w:spacing w:after="0" w:line="14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third parties are vulnerable to damage from computer viruses, malware, computer hackers, malicious code, employee error, theft or misuse, denial-of-service attacks, sophisticated nation-state supported actors, unauthorized access, natural disasters, terrorism, war and telecommunication and electrical failures. Such systems are also vulnerable to service interruptions or to security breaches from inadvertent or intentional actions by our employees, our collaborators, contractors, consultants, vendors, business partners and other third parties, or from cyber-attacks by malicious third parties over the Internet or through other mechanisms. Cyber-attacks are increasing in their frequency, sophistication and intensity, and have become increasingly difficult to detect. Cyber-attacks could include the deployment of harmful malware, ransomware, denial of 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cannot guarantee that the measures we have taken to date, and actions we may take in the future, will be sufficient to prevent any future breaches.</w:t>
      </w:r>
    </w:p>
    <w:p>
      <w:pPr>
        <w:spacing w:after="0" w:line="15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such material system failure, accident, cyber-attack or security breach to date, if such an event were to occur and cause interruptions in our operations, it could result in a material disruption of our development programs, clinical trials and business operations, whether due to a loss of our trade secrets or other proprietary or confidential information or other similar disruptions, in addition to possibly requiring substantial expenditures of resources to remedy. For example, the loss of clinical trial data from clinical trials could result in delays or termination of our regulatory approval efforts and significantly increase our costs to recover or reproduce the data. In addition, as risks with respect to our information systems continue to evolve, we will incur additional costs to maintain the security of our information systems and comply with evolving laws and regulations pertaining to cybersecurity and related areas.</w:t>
      </w:r>
    </w:p>
    <w:p>
      <w:pPr>
        <w:spacing w:after="0" w:line="16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enrollment in our clinical trials could be negatively affected,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Any of the above could have a material adverse effect on our business, financial condition, results of operations or prospects.</w:t>
      </w:r>
    </w:p>
    <w:p>
      <w:pPr>
        <w:spacing w:after="0" w:line="15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8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candidates. We rely, and expect to continue to rely, on third parties, such as contract research organizations, clinical data management organizations, medical institutions and clinical investigators, to conduct our clinical trials of pegcetacoplan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5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5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In addition, these contractors may be adversely affected by the COVID-19 pandemic.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and distribution of commercial supply for EMPAVELI, SYFOVRE, and clinical supply for our product candidates and expect to continue to do so in connection with our future development and commercialization efforts. This reliance on third parties increases the risk that we will not have sufficient quantities of pegcetacoplan or our other product candidates or such quantities at an acceptable cost, which could delay, prevent or impair our development or commercialization efforts.</w:t>
      </w:r>
    </w:p>
    <w:p>
      <w:pPr>
        <w:spacing w:after="0" w:line="13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also rely upon contract manufacturers, and potentially collaboration partners to manufacture commercial quantities of EMPAVELI, SYFOVRE, and any of our other product candidates, if approved. We may be unable to establish any agreements with contract manufacturers or to do so on acceptable terms, or to maintain such agreements as we may enter. Even if we are able to establish agreements with contract manufacturers, reliance on contract manufacturers entails additional risks, including:</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jc w:val="both"/>
        <w:ind w:left="1020" w:right="80" w:hanging="503"/>
        <w:spacing w:after="0" w:line="265"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give greater priority to the supply of other products over EMPAVELI, SYFOVRE, or our product candidates or otherwise do not satisfactorily perform according to the terms of the agreements between us and them, or if unforeseen events in the manufacturing process arise;</w:t>
      </w:r>
    </w:p>
    <w:p>
      <w:pPr>
        <w:spacing w:after="0" w:line="15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the third-party contractors of our agreements with them;</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97"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122"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9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currently rely, and expect to continue to rely, on a small number of third-party contract manufacturers to supply most of our supply of active pharmaceutical ingredients and required finished product for our commercial supply of EMPAVELI and SYFOVRE and for our clinical supply of our product candidates. In particular, we have entered into commercial supply agreements with Bachem and NOF to purchase a significant portion of our requirements for the pegcetacoplan drug substance and drug intermediaries, respectively, over the next five years. We have also entered into long-term commercial supply agreements with other suppliers of raw materials, drug intermediaries, drug substance and drug product. We also have a separate supply agreement for the manufacture of the drug product for each of EMPAVELI and SYFOVRE.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For example, in the past we experienced issues associated with the manufacturing process for pegcetacoplan that resulted in delays in the supply of pegcetacoplan. These delays resulted in us incurring additional costs and delays in our PNH development program. Additionally, in October 2018, we announced that we voluntarily implemented a pause in dosing in our clinical trials in patients with GA and wet AMD due to observed cases of non-infectious inflammation in patients treated from a single manufacturing lot of pegcetacoplan ophthalmological drug product that we believe occurred due to </w:t>
      </w:r>
      <w:r>
        <w:rPr>
          <w:rFonts w:ascii="Times New Roman" w:cs="Times New Roman" w:eastAsia="Times New Roman" w:hAnsi="Times New Roman"/>
          <w:sz w:val="18"/>
          <w:szCs w:val="18"/>
          <w:color w:val="111111"/>
        </w:rPr>
        <w:t>an impurity in the active pharmaceutical ingredient</w:t>
      </w:r>
      <w:r>
        <w:rPr>
          <w:rFonts w:ascii="Times New Roman" w:cs="Times New Roman" w:eastAsia="Times New Roman" w:hAnsi="Times New Roman"/>
          <w:sz w:val="18"/>
          <w:szCs w:val="18"/>
          <w:color w:val="000000"/>
        </w:rPr>
        <w:t>. If we experience other issues or delays in the future, our commercial success may be materially and</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adversely impacted and our development of pegcetacoplan may be materially delayed, and our business adversely affected.</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manufacturing problem, the loss of a contract manufacturer or any loss of storage could be disruptive to our operations, result in lost sales of EMPAVELI and/or SYFOVRE or delay our clinical trials. Accordingly, for example, if Bachem or NOF were to experience manufacturing and supply issues, we would have difficulty in procuring the drug substance or drug intermediates needed for the supply and manufacture of pegcetacoplan. Additionally, we rely on third parties to supply the raw materials needed to manufacture our product candidates. Any reliance on suppliers may involve several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For EMPAVELI, SYFOVRE, and any product candidates that are approved by any regulatory agency, we will need to maintain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w:t>
      </w:r>
    </w:p>
    <w:p>
      <w:pPr>
        <w:spacing w:after="0" w:line="14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may not be able to meet our supply requirements for clinical and commercial operations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and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3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developed the EMPAVELI injector, a custom, on-body drug delivery system that would enable patients to self-administer pegcetacoplan through subcutaneous infusion. While the EMPAVELI injector was in development, we used one or more commercially available ambulatory infusion pumps in our ongoing and planned clinical trials and for our commercial launch of EMPAVELI and SYFOVRE. If the EMPAVELI injector becomes unavailable, we may need to rely upon commercially available ambulatory infusion pumps. Any reliance on third-party infusion pumps may involve several risks, including reduced control over costs, delivery schedules, reliability and quality.</w:t>
      </w:r>
    </w:p>
    <w:p>
      <w:pPr>
        <w:spacing w:after="0" w:line="14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EMPAVELI, SYFOVRE, or our product candidates may harm our future profit margins and our ability to commercialize EMPAVELI, SYFOVRE, or any other products that receive marketing approval on a timely and competitive basis.</w:t>
      </w:r>
    </w:p>
    <w:p>
      <w:pPr>
        <w:spacing w:after="0" w:line="17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for the development and commercialization of our product candidates will depend in part on the success of our collaboration with Sobi and future collaborations.</w:t>
      </w:r>
    </w:p>
    <w:p>
      <w:pPr>
        <w:spacing w:after="0" w:line="131"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7"/>
          <w:szCs w:val="17"/>
          <w:color w:val="auto"/>
        </w:rPr>
        <w:t>We have entered into a collaboration with Sobi for the global co-development and commercialization outside of the United States of systemic pegcetacoplan and we may seek to enter into additional collaborations for the development and commercialization of certain of our products or product candidates. We may have limited control over the amount and timing of resources that our collaborators, including Sobi, will dedicate to the development or commercialization of our product candidates. Our ability to generate revenues from these arrangements will depend on our collaborators’ abilities to successfully perform the functions assigned to them in these arrangements. In addition, our collaborators may have the right to abandon research or development projects and terminate applicable agreements, including funding obligations, prior to or upon the expiration of the agreed upon terms.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pose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9" w:lineRule="exact"/>
        <w:rPr>
          <w:rFonts w:ascii="Times New Roman" w:cs="Times New Roman" w:eastAsia="Times New Roman" w:hAnsi="Times New Roman"/>
          <w:sz w:val="18"/>
          <w:szCs w:val="18"/>
          <w:color w:val="auto"/>
        </w:rPr>
      </w:pPr>
    </w:p>
    <w:p>
      <w:pPr>
        <w:ind w:left="1020" w:right="480" w:hanging="503"/>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ind w:left="1020" w:right="580" w:hanging="503"/>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4" w:lineRule="exact"/>
        <w:rPr>
          <w:rFonts w:ascii="Times New Roman" w:cs="Times New Roman" w:eastAsia="Times New Roman" w:hAnsi="Times New Roman"/>
          <w:sz w:val="18"/>
          <w:szCs w:val="18"/>
          <w:color w:val="auto"/>
        </w:rPr>
      </w:pPr>
    </w:p>
    <w:p>
      <w:pPr>
        <w:ind w:left="1020" w:right="500" w:hanging="503"/>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right="100" w:hanging="503"/>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4" w:lineRule="exact"/>
        <w:rPr>
          <w:rFonts w:ascii="Times New Roman" w:cs="Times New Roman" w:eastAsia="Times New Roman" w:hAnsi="Times New Roman"/>
          <w:sz w:val="18"/>
          <w:szCs w:val="18"/>
          <w:color w:val="auto"/>
        </w:rPr>
      </w:pPr>
    </w:p>
    <w:p>
      <w:pPr>
        <w:ind w:left="1020" w:right="1000" w:hanging="503"/>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2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example, our agreement with Sobi is subject to early termination in the event of any uncured material breach of the agreement or under specific circumstances relating to insolvency. If we do not maintain a productive collaborative relationship with Sobi or if Sobi is unable to meet its contractual obligations or if there is an early termination of the agreement as described above, we would be forced to either establish a commercial infrastructure outside of the United States so that we could undertake the commercialization efforts which had been theretofore undertaken by Sobi or we would need to seek an alternative collaborator. The establishment of a commercial infrastructure and assumption by us of commercialization activities outside of the United States would require substantial resources, financial and otherwise, and could result in us incurring greater expenses than the increase in revenues from our direct sales of systemic pegcetacoplan. It could also cause a delay in market penetration while we expand our commercial operations. Seeking and obtaining an alternative collaborator outside the United States could also adversely impact sales of systemic pegcetacoplan and market penetration outside of the United States.</w:t>
      </w:r>
    </w:p>
    <w:p>
      <w:pPr>
        <w:spacing w:after="0" w:line="15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our collaborators, including Sobi are involved in a business combination, it could decide to delay, diminish or terminate the development or commercialization of any product candidate licensed to it by us.</w:t>
      </w:r>
    </w:p>
    <w:p>
      <w:pPr>
        <w:spacing w:after="0" w:line="17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established, and in the future, may seek to establish, additional collaborations and, if we are not able to establish them on commercially reasonable terms, we may have to alter our development and commercialization plans.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entered into the collaboration agreement with Sobi in October 2020 concerning the development and commercialization of pegcetacoplan and specified other structurally and functionally similar compstatin analogues or derivatives for use systemically or for local non-ophthalmic administration. We may seek to establish one or more additional collaborators for the development and commercialization of one or more of our product candidates. Likely collaborators may include large and mid-size pharmaceutical companies, regional and national pharmaceutical companies and biotechnology companies. In addition, if we are able to obtain marketing approval for product candidates from foreign regulatory authorities, we intend to enter into strategic relationships with international biotechnology or pharmaceutical companies for the commercialization of such product candidates outside of the United States.</w:t>
      </w:r>
    </w:p>
    <w:p>
      <w:pPr>
        <w:spacing w:after="0" w:line="14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w:t>
      </w:r>
    </w:p>
    <w:p>
      <w:pPr>
        <w:spacing w:after="0" w:line="13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Any collaboration agreements that we enter into in the future may contain restrictions on our ability to enter into potential collaborations or to otherwise develop specified product candidates.</w:t>
      </w:r>
    </w:p>
    <w:p>
      <w:pPr>
        <w:spacing w:after="0" w:line="122"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party to patent license agreements with The University of Pennsylvania, or Penn, under which we license patent rights relating to a family of compounds for use in all fields. The licensed patent rights include issued U.S. and foreign patents with claims that recite a class of compounds generically covering pegcetacoplan and that specifically recite the active component.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14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4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14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or any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w:t>
      </w:r>
    </w:p>
    <w:p>
      <w:pPr>
        <w:spacing w:after="0" w:line="159"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35"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5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w:t>
      </w:r>
    </w:p>
    <w:p>
      <w:pPr>
        <w:spacing w:after="0" w:line="14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14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3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products or product candidates or relating to the use of complement inhibition that may cover our product candidates or approach to complement inhibition. For example, we are aware of a U.S. patent with claims that could be construed to cover pegcetacoplan. Although we believe that these claims, if construed to cover pegcetacoplan, would be invalid due to various prior art disclosures available more than a year before the priority date of the U.S. patent, there are no assurances that a court would agree. If any third-party patents or patent applications are found to cover our products or product candidates or their methods of use or our approach to complement inhibition, we may not be free to manufacture or market our products or product candidates as planned without obtaining a license, which may not be available on commercially reasonable terms, or at all.</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or products candidates, including interference proceedings before the USPTO. There may be third-party patents or patent applications with claims to materials, formulations, methods of manufacture or methods for treatment related to the use or manufacture of our products or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63"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products or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8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13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Some of our in-licensed intellectual property with respect to our products and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The “march-in” provisions of the Bayh-Dole Act allow the U.S. government under strictly limited circumstances to require the patent owners to grant exclusive, partially exclusive or non-exclusive 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Penn has requested a waiver of the U.S. manufacturing requirement, but there can be no assurance that such waiver will be granted.</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United States for those applications filed after March 16, 2013.</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5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products or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4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62"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 For instance, under the Sobi collaboration, we retain the primary right to prosecute and defend its patent and other intellectual property rights, but Sobi has the primary right to enforce such rights against competitive infringement outside the United States.</w:t>
      </w:r>
    </w:p>
    <w:p>
      <w:pPr>
        <w:spacing w:after="0" w:line="14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3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products or product candidates we may develop, our business may be materially harmed.</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products or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6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products and product candidates, our competitive position would be adversely affected.</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products or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w:t>
      </w:r>
    </w:p>
    <w:p>
      <w:pPr>
        <w:spacing w:after="0" w:line="16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or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 and Other Legal Compliance Matters</w:t>
      </w:r>
    </w:p>
    <w:p>
      <w:pPr>
        <w:spacing w:after="0" w:line="18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may prevent us or our collaborators such as Sobi from obtaining approvals for the commercialization of pegcetacoplan or any of our product candidates that we develop. As a result, we cannot predict when or if, and in which territories, we, or our collaborators, will obtain marketing approval to commercialize pegcetacoplan or any other product candidate that we develop.</w:t>
      </w:r>
    </w:p>
    <w:p>
      <w:pPr>
        <w:spacing w:after="0" w:line="15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The FDA approved EMPAVELI in May 2021 and the EMA approved ASPAVELI in December 2021. The FDA approved SYFOVRE in February 2023.</w:t>
      </w:r>
    </w:p>
    <w:p>
      <w:pPr>
        <w:spacing w:after="0" w:line="14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4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Further, in January 2022, the new Clinical Trials Regulation (EU) No 536/2014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will only be required to submit a single application for approval. The submission will be made through the Clinical Trials Information System, a clinical trials portal overseen by the EMA and available to clinical trial sponsors, competent authorities of the European Union Member States and the public.</w:t>
      </w:r>
    </w:p>
    <w:p>
      <w:pPr>
        <w:spacing w:after="0" w:line="164"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Further, under the Pediatric Research Equity Act, or PREA, an NDA, biologics license application, or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EMA, or to obtain a waiver or deferral from the conduct of these studies by this Committee. For any of our product candidates for which we are seeking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6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w:t>
      </w:r>
    </w:p>
    <w:p>
      <w:pPr>
        <w:spacing w:after="0" w:line="145" w:lineRule="exact"/>
        <w:rPr>
          <w:sz w:val="20"/>
          <w:szCs w:val="20"/>
          <w:color w:val="auto"/>
        </w:rPr>
      </w:pPr>
    </w:p>
    <w:p>
      <w:pPr>
        <w:ind w:right="20" w:firstLine="509"/>
        <w:spacing w:after="0" w:line="288" w:lineRule="auto"/>
        <w:rPr>
          <w:sz w:val="20"/>
          <w:szCs w:val="20"/>
          <w:color w:val="auto"/>
        </w:rPr>
      </w:pPr>
      <w:r>
        <w:rPr>
          <w:rFonts w:ascii="Times New Roman" w:cs="Times New Roman" w:eastAsia="Times New Roman" w:hAnsi="Times New Roman"/>
          <w:sz w:val="17"/>
          <w:szCs w:val="17"/>
          <w:color w:val="auto"/>
        </w:rPr>
        <w:t>Under our agreement with Sobi, Sobi is responsible for seeking regulatory approval outside the United States for systemic pegcetacoplan. A delay in obtaining or failure to obtain required approvals and clearances could negatively impact our ability or that of our collaborators, including Sobi, to generate revenue from the particular product candidate, which likely would result in significant harm to our financial position and adversely impact our stock price.</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and sell EMPAVELI, SYFOVRE, pegcetacoplan in other indications or any of our other products in the European Union and other foreign jurisdictions, we, and our collaborators, such as Sobi,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our collaborators, such as Sobi,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15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For example, in January 2024, the Committee for Medicinal Products for Human Use, or CHMP, of the European Medicines Agency adopted a negative opinion on the marketing authorization application, or MAA, for SYFOVRE in the European Union. While we are seeking re-examination of the MAA, we cannot be certain that such re-examination will be successful, and we may be required to conduct additional clinical trials of SYFOVRE. Because regulators in other jurisdictions, including those in the Access Consortium countries (including the United Kingdom, Switzerland, Australia and Canada) are influenced by decisions of the FDA and the EMA, a negative opinion by the FDA or the EMA may adversely impact the prospects for approval in other jurisdictions.</w:t>
      </w:r>
    </w:p>
    <w:p>
      <w:pPr>
        <w:spacing w:after="0" w:line="14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2021, the Medicines and Healthcare products Regulatory Agency, or MHRA, became responsible for supervising medicines and medical devices in Great Britain, comprising England, Scotland and Wales under domestic law, whereas under the terms of the Northern Ireland Protocol, Northern Ireland is currently subject to EU rules. The United Kingdom and European Union have however agreed to the Windsor Framework which fundamentally changes the existing system under the Northern Ireland Protocol, including with respect to the regulation of medicinal products in the United Kingdom. Once implemented, the changes introduced by the Windsor Framework will see the MHRA be responsible for approving all medicinal products destined for the UK market (i.e., Great Britain and Northern Ireland), and the EMA will no longer have any role in approving medicinal products destined for Northern Ireland. Any delay in obtaining, or an inability to obtain, any marketing authorizations, as a result of Brexit or otherwise, may force us to restrict or delay efforts to seek regulatory approval in the United Kingdom for our product candidates, which could significantly and materially harm our business.</w:t>
      </w:r>
    </w:p>
    <w:p>
      <w:pPr>
        <w:spacing w:after="0" w:line="14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3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outside of the United States;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3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certain of our clinical trials globally . However, the FDA and other foreign equivalents may not accept data from such trials, in which case our development plans will be delayed, which could materially harm our business.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conducted and intend to continue conducting certain of our clinical trials globally. The acceptance by the FDA or other regulatory authorities of study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6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84" w:lineRule="exact"/>
        <w:rPr>
          <w:sz w:val="20"/>
          <w:szCs w:val="20"/>
          <w:color w:val="auto"/>
        </w:rPr>
      </w:pPr>
    </w:p>
    <w:p>
      <w:pPr>
        <w:ind w:left="2040" w:hanging="505"/>
        <w:spacing w:after="0"/>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9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9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84"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certain designations for our product candidates, including Breakthrough Therapy, Fast Track and Priority Review in the United States, and PRIME (priority medicines) in the European Union, but we might not receive such designations, and even if we do, such designations may not lead to a faster development or regulatory review or approval process.</w:t>
      </w:r>
    </w:p>
    <w:p>
      <w:pPr>
        <w:spacing w:after="0" w:line="14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 clinical development.</w:t>
      </w:r>
    </w:p>
    <w:p>
      <w:pPr>
        <w:spacing w:after="0" w:line="14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NDA before the application is complete. This rolling review</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available if the FDA determines, after preliminary evaluation of data submitted by the sponsor, that a Fast Track product may be effective.</w:t>
      </w:r>
    </w:p>
    <w:p>
      <w:pPr>
        <w:spacing w:after="0" w:line="198"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We may also seek a priority review designation for one or more of our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w:t>
      </w:r>
    </w:p>
    <w:p>
      <w:pPr>
        <w:spacing w:after="0" w:line="14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These designations require a sponsor to submit an application for review and approval by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14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European Union, we may seek PRIME for some of our product candidates in the future. PRIME is a voluntary program launched by the EMA that is aimed at enhancing the scientific and regulatory support for the development and accelerated assessment of new product candidates that target an unmet medical need. PRIME is aimed to offer early and proactive support to sponsors to optimize the generation of robust data on the product’s benefits and risks and enable accelerated regulatory assessment of new marketing applications. To be eligible for PRIME, a product candidate must meet the eligibility criteria in respect to its potential to offer a major therapeutic advantage over existing treatments, or benefit patients who do not have any treatment options. The benefits of PRIME include the appointment of a CHMP rapporteur to provide continued support and help to build knowledge ahead of a MAA,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We may apply for PRIME and it may not be granted.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15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Where appropriate, we plan to pursue approval from the FDA, EMA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spacing w:after="0" w:line="13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Where appropriate, we plan to pursue accelerated development strategies in areas of medical need. We may seek an accelerated approval pathway for one or more of our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5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the FDA every six months (until the study is completed), and use expedited procedures to withdraw accelerated approval of an NDA or BLA after the confirmatory trial fails to verify the product’s clinical benefit. Further,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FDORA requires the FDA to publish on its website “the rationale for why a post-approval study is not appropriate or necessary” whenever it decides not to require such a study upon granting accelerated approval.</w:t>
      </w:r>
    </w:p>
    <w:p>
      <w:pPr>
        <w:spacing w:after="0" w:line="13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While this guidance is currently only in draft form and will not be legally binding even when finalized, we will need to consider the FDA’s guidance if we seek accelerated approval for any of our products in the future.</w:t>
      </w:r>
    </w:p>
    <w:p>
      <w:pPr>
        <w:spacing w:after="0" w:line="14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European Union,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spacing w:after="0" w:line="14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(i.e., Fast Track designation, Breakthrough Therapy designation or orphan drug designation),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not be able to obtain orphan drug designation or orphan drug exclusivity for our product candidates and, even if we do, that exclusivity may not prevent the FDA or the EMA from approving other competing products.</w:t>
      </w:r>
    </w:p>
    <w:p>
      <w:pPr>
        <w:spacing w:after="0" w:line="13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pegcetacoplan for the treatment of PNH and for the treatment of C3 glomerulopathy. We, or our collaborators, may seek orphan drug designations for pegcetacoplan for other indications and for other product candidates and may be unable to obtain such designations.</w:t>
      </w:r>
    </w:p>
    <w:p>
      <w:pPr>
        <w:spacing w:after="0" w:line="14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we, or our collaborators, obtain orphan drug designation for a product candidate, such as is the case for pegcetacoplan for the treatment of PNH,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4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Even if we, or our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55"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EMA and other regulatory authorities actively enforce the laws and regulations prohibiting the promotion of off-label uses.</w:t>
      </w:r>
    </w:p>
    <w:p>
      <w:pPr>
        <w:spacing w:after="0" w:line="20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EMA and other regulatory authorities strictly regulate the promotional claims that may be made about prescription products, such as our product candidates, if approved. In particular, a product may not be promoted in the United States for uses that are not approved by the FDA as reflected in the product’s approved labelling, or in other jurisdictions for uses that differ from the labelling or uses approved by the applicable regulatory authorities. While physicians may prescribe products for off-label uses, the FDA, EMA and other regulatory authorities actively enforce laws and regulations that prohibit the promotion of off-label uses by companies, including promotional communications made by companies’ sales force with respect to off-label uses that are not consistent with the approved labelling, and a company that is found to have improperly promoted off-label uses may be subject to significant civil, criminal and administrative penalties.</w:t>
      </w:r>
    </w:p>
    <w:p>
      <w:pPr>
        <w:spacing w:after="0" w:line="14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4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obtain marketing approvals for our product candidates, the terms of approvals and ongoing regulation of our products may limit how we manufacture and market our products, which could impair our ability to generate revenue.</w:t>
      </w:r>
    </w:p>
    <w:p>
      <w:pPr>
        <w:spacing w:after="0" w:line="13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our collaborators, must therefore comply with requirements concerning advertising and promotion for any of our product candidates which we or they market. Promotional communications with respect to prescription drugs are subject to a variety of legal and regulatory restrictions and must be consistent with the information in the product’s approved labeling. Thus, we and our collaborators will not be able to promote any products we develop for indications or uses for which they are not approved. We are limited to promoting EMPAVELI and SYFOVRE in accordance with their approved label in each jurisdiction and may not promote them for any indication other than as stated on the label. The label for Aspaveli in the European Union is more limited than the label for EMPAVELI in the United States.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EMPAVELI, SYFOVRE, and any other product candidates for which we, or our collaborators, obtain marketing approval in the future could be subject to post-marketing restrictions or withdrawal from the market and we, or our collaborators, may be subject to substantial penalties if we, or they, fail to comply with regulatory requirements or if we, or they, experience unanticipated problems with our products following approval.</w:t>
      </w:r>
    </w:p>
    <w:p>
      <w:pPr>
        <w:spacing w:after="0" w:line="13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EMPAVELI, SYFOVRE, and any other product candidates for which we, or our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requirements, requirements relating to manufacturing, quality control, quality assurance and corresponding maintenance of records and documents, requirements regarding the distribution of samples to physicians and recordkeeping. For EMPAVELI, SYFOVRE, and any other product candidate that is granted marketing approval, the approval may be subject to limitations on the indicated uses for which the product may be marketed or to the conditions of approval, including the requirement to implement a Risk Evaluation and Mitigation Strategy.</w:t>
      </w:r>
    </w:p>
    <w:p>
      <w:pPr>
        <w:spacing w:after="0" w:line="1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collaborators and their contract manufacturers could be subject to periodic unannounced inspections by the FDA to monitor and ensure compliance with cGMPs.</w:t>
      </w:r>
    </w:p>
    <w:p>
      <w:pPr>
        <w:spacing w:after="0" w:line="14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our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89"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5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our ability to maintain approval and market our new drug products may be impacted by ongoing litigation challenging the FDA’s approval of mifepristone. Specifically, on April 7, 2023, the U.S. District Court for the Northern District of Texas stayed the approval by the FDA of mifepristone, a drug product which was originally approved in 2000 and whose distribution is governed by various conditions adopted under a Risk Evaluation and Mitigation Strategies, or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NDA or establish requirements under a REMS based on a showing that the plaintiff or its members would be harmed to the extent that FDA’s drug approval decision effectively compelled the plaintiffs to provide care for patients suffering adverse events caused by a given drug.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or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Appeals Court did hold that plaintiffs were likely to prevail in their claim that changes allowing for expanded access of mifepristone that FDA authorized in 2016 and 2021 were arbitrary and capricious. On September 8, 2023, the Justice Department and a manufacturer of mifepristone filed petitions for a writ of certiorari, requesting that asked the U.S. Supreme Court to review the Appeals Court decision. On December 13, 2023, the Supreme Court granted these petitions for writ of certiorari for the appeals court decision.</w:t>
      </w:r>
    </w:p>
    <w:p>
      <w:pPr>
        <w:spacing w:after="0" w:line="15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If we, and our collaborators, are not able to comply with post-approval regulatory requirements, we, and our collaborators, could have the marketing approvals for our products withdrawn by regulatory authorities and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7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disruptions may still result also from the recent COVID-19 pandemic or any similar event that may occur in the future. During the recent COVID-19 pandemic, a number of companies announced receipt of complete response letters due to the FDA’s inability to complete required inspections for their applications. In the event of a resurgence of the recent COVID-19 pandemic or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the recent COVID-19 pandemic or a similar public health emergency and may also experience delays in their regulatory activities.</w:t>
      </w:r>
    </w:p>
    <w:p>
      <w:pPr>
        <w:spacing w:after="0" w:line="18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7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our collaborators to obtain reimbursement of and commercialize our product candidates and affect the prices we, or they, may obtain.</w:t>
      </w:r>
    </w:p>
    <w:p>
      <w:pPr>
        <w:spacing w:after="0" w:line="15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our collaborators, to profitably sell EMPAVELI, SYFOVRE, or any other products for which we, or they, obtain marketing approval. We expect that current laws, as well as other healthcare reform measures that may be adopted in the future, may result in more rigorous coverage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criteria and in additional downward pressure on the price that we, or our collaborators, may receive for any approved products. If reimbursement of our products is unavailable or limited in scope, our business could be materially harmed.</w:t>
      </w:r>
    </w:p>
    <w:p>
      <w:pPr>
        <w:spacing w:after="0" w:line="16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Education Reconciliation Act, or collectively the ACA. Since enactment of the ACA, there have been and continue to be, numerous legal challenges and Congressional actions to repeal and replace provisions of the law. For example, with enactment of the Tax Act in 2017, Congress repealed the “individual mandate.” The repeal of this provision, which requires most Americans to carry a minimal level of health insurance, became effective in 2019. On June 17, 2021, the U.S. Supreme Court dismissed the most recent judicial challenge to the ACA brought by several states without specifically ruling on the constitutionality of the ACA. Litigation and legislation over the ACA are likely to continue, with unpredictable and uncertain results.</w:t>
      </w:r>
    </w:p>
    <w:p>
      <w:pPr>
        <w:spacing w:after="0" w:line="1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adopted since the ACA was enacted, including aggregate reductions to Medicare payments to providers of up to 2% per fiscal year, which went into effect in April 2013 and will remain in effect through 2031. Under current legislation, the actual reductions in Medicare payments may vary up to 4%. The Consolidated Appropriations Act, or CAA, which was signed into law by President Biden in December 2022, made several changes to sequestration of the Medicare program. Section 1001 of the CAA delays the 4% Statutory Pay-As-You-Go Act of 2010, or PAYGO, sequester for two years, through the end of calendar year 2024. Triggered by the enactment of the American Rescue Plan Act of 2021, the 4% cut to the Medicare program would have taken effect in January 2023. The CAA’s health care offset title includes Section 4163, which extends the 2% Budget Control Act of 2011 Medicare sequester for six months into fiscal year 2032 and lowers the payment reduction percentages in fiscal years 2030 and 2031.</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health technology assessment, or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approved.</w:t>
      </w:r>
    </w:p>
    <w:p>
      <w:pPr>
        <w:spacing w:after="0" w:line="15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have passed laws allowing for the importation of drugs from Canada. Certain of these states have submitted Section 804 Importation Program proposals and are awaiting FDA approval. On January 5, 2023, the FDA approved Florida’s plan for Canadian drug importation. The rule also creates a new safe harbor for price reductions reflected at the point-of-sale, as well as a new safe harbor for certain fixed fee arrangements between pharmacy benefit managers and manufacturers, the implementation of which has been delayed until January 1, 2032 by the Inflation Reduction Act of 2022, or IRA.</w:t>
      </w:r>
    </w:p>
    <w:p>
      <w:pPr>
        <w:spacing w:after="0" w:line="18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The Order directs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89"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On August 16,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7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against the HHS and CMS. We expect that litigation involving these and other provisions of the IRA will continue, with unpredictable and uncertain results. Accordingly, while it is currently unclear how the IRA will be effectuated, we cannot predict with certainty what impact any</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6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some countries, including member states of the European Union,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15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5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3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3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5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4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Transparency Requirements. </w:t>
      </w:r>
      <w:r>
        <w:rPr>
          <w:rFonts w:ascii="Times New Roman" w:cs="Times New Roman" w:eastAsia="Times New Roman" w:hAnsi="Times New Roman"/>
          <w:sz w:val="17"/>
          <w:szCs w:val="17"/>
          <w:color w:val="auto"/>
        </w:rPr>
        <w:t>The federal Physician Payments Sunshine Act requires certain manufacturers of drugs, devices, biologics, and medical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supplies for which payment is available under Medicare, Medicaid, or the Children’s Health Insurance Program, with specific exceptions, to report annually to the Centers for Medicare &amp; Medicaid Services, or CMS, information related to payments or transfers of value made to certain healthcare providers and teaching hospitals, as well as information regarding ownership and investment interests held by physicians and their immediate family members;</w:t>
      </w:r>
    </w:p>
    <w:p>
      <w:pPr>
        <w:spacing w:after="0" w:line="12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Additionally, some state and local laws require the registration of pharmaceutical sales representatives in</w:t>
      </w:r>
    </w:p>
    <w:p>
      <w:pPr>
        <w:sectPr>
          <w:pgSz w:w="11900" w:h="16838" w:orient="portrait"/>
          <w:cols w:equalWidth="0" w:num="1">
            <w:col w:w="11240"/>
          </w:cols>
          <w:pgMar w:left="320" w:top="768"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3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41"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Violation of these laws could result in substantial fines and imprisonment.</w:t>
      </w:r>
    </w:p>
    <w:p>
      <w:pPr>
        <w:spacing w:after="0" w:line="141"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w:t>
      </w:r>
    </w:p>
    <w:p>
      <w:pPr>
        <w:spacing w:after="0" w:line="150" w:lineRule="exact"/>
        <w:rPr>
          <w:sz w:val="20"/>
          <w:szCs w:val="20"/>
          <w:color w:val="auto"/>
        </w:rPr>
      </w:pPr>
    </w:p>
    <w:p>
      <w:pPr>
        <w:jc w:val="both"/>
        <w:ind w:right="280" w:firstLine="509"/>
        <w:spacing w:after="0" w:line="312" w:lineRule="auto"/>
        <w:rPr>
          <w:sz w:val="20"/>
          <w:szCs w:val="20"/>
          <w:color w:val="auto"/>
        </w:rPr>
      </w:pPr>
      <w:r>
        <w:rPr>
          <w:rFonts w:ascii="Times New Roman" w:cs="Times New Roman" w:eastAsia="Times New Roman" w:hAnsi="Times New Roman"/>
          <w:sz w:val="17"/>
          <w:szCs w:val="17"/>
          <w:color w:val="auto"/>
        </w:rPr>
        <w:t>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9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9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passage of the CREATES Act, we are exposed to possible litigation and damages by competitors who may claim that we are not providing sufficient quantities of our approved products on commercially reasonable, market-based terms for testing in support of their ANDAs and 505(b)(2) applications.</w:t>
      </w:r>
    </w:p>
    <w:p>
      <w:pPr>
        <w:spacing w:after="0" w:line="13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2019, former President Trump signed legislation intended to facilitate the development of generic and biosimilar products. The bill, previously known as the CREATES Act, authorizes sponsors of abbreviated new drug applications, or ANDAs, and 505(b)(2) applications to file lawsuits against companies holding NDAs that decline to provide sufficient quantities of an approved reference drug on commercially reasonable, market-based terms. Drug products on FDA’s drug shortage list are exempt from these new provisions unless the product has been on the list for more than six continuous months, or the FDA determines that the supply of the product will help alleviate or prevent a shortage.</w:t>
      </w:r>
    </w:p>
    <w:p>
      <w:pPr>
        <w:spacing w:after="0" w:line="155"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To bring an action under the statute, an ANDA or 505(b)(2) sponsor must take certain steps to request the reference product, which, in the case of products covered by a Risk Evaluation and Mitigation Strategy with elements to assure safe use, include obtaining authorization from the FDA for the acquisition of the reference product. If the sponsor does bring an action for failure to provide a reference product, there are certain affirmative defenses available to the NDA holder, which must be shown by a preponderance of evidence. If the sponsor prevails in litigation, it is entitled to a court order directing the NDA holder to provide, without delay, sufficient quantities of the applicable product on commercially reasonable, market-based terms, plus reasonable attorney fees and costs.</w:t>
      </w:r>
    </w:p>
    <w:p>
      <w:pPr>
        <w:spacing w:after="0" w:line="145"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Additionally, the new statutory provisions authorize a federal court to award the product developer an amount “sufficient to deter” the NDA holder from refusing to provide sufficient product quantities on commercially reasonable, market-based terms if the court finds, by a preponderance of the evidence, that the NDA holder did not have a legitimate business justification to delay providing the product or failed to comply with the court’s order. For the purposes of the statute, the term “commercially reasonable,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market-based terms” is defined as (1) the nondiscriminatory price at or below the most recent wholesale acquisition cost for the product, (2) a delivery schedule that meets the statutorily defined timetable, and (3) no additional conditions on the sale.</w:t>
      </w:r>
    </w:p>
    <w:p>
      <w:pPr>
        <w:spacing w:after="0" w:line="13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we intend to comply fully with the terms of these new statutory provisions, we are still exposed to potential litigation and damages by competitors who may claim that we are not providing sufficient quantities of our approved products on commercially reasonable, market-based terms for testing in support of ANDAs and 505(b)(2) applications. Such litigation would subject us to additional litigation costs, damages and reputational harm, which could lead to lower revenues. The CREATES Act may enable generic competition with EMPAVELI, SYFOVRE, and any of our product candidates, if approved, which could impact our ability to maximize product revenue.</w:t>
      </w:r>
    </w:p>
    <w:p>
      <w:pPr>
        <w:spacing w:after="0" w:line="17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3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4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5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4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4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similar laws in the future, and Congress has also been debating passing a federal privacy law. There are also states that are specifically regulating health information that may affect our business. For example, Washington state passed a health privacy law in 2023 that will regulate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collection and sharing of health information, and the law also has a private right of action, which further increases the relevant compliance risk. Connecticut and Nevada have also passed similar laws regulating consumer health data and additional states are considering such legislation for 2024. These laws may impact our business activities, including our identification of research subjects, relationships with business partners and ultimately the marketing and distribution of our products.</w:t>
      </w:r>
    </w:p>
    <w:p>
      <w:pPr>
        <w:spacing w:after="0" w:line="1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4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European Union to countries that have not been found by the EC to offer adequate data protection legislation, such as the United States.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14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serves as a replacement to the EU-U.S. Privacy Shield.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while the Data Protection Act of 2018 in the United Kingdom that “implements” and complements the EU’s GDPR has achieved Royal Assent on May 23, 2018 and is now effective in the United Kingdom, it is still unclear whether transfer of data from the EEA to the United Kingdom will remain lawful under GDPR. The Trade and Cooperation Agreement provides for a transitional period during which the United Kingdom will be treated like a European Union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 The United Kingdom has already determined that it considers all of the EU 27 and EEA member states to be adequate for the purposes of data protection, ensuring that data flows from the United Kingdom to the EU/EEA remain unaffected.</w:t>
      </w:r>
    </w:p>
    <w:p>
      <w:pPr>
        <w:spacing w:after="0" w:line="149"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14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ectPr>
          <w:pgSz w:w="11900" w:h="16838" w:orient="portrait"/>
          <w:cols w:equalWidth="0" w:num="1">
            <w:col w:w="11240"/>
          </w:cols>
          <w:pgMar w:left="320" w:top="768"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engage in significant cross-border and international activities, we will be subject to risks related to international operations, including:</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initiating clinical trials and maintaining approval of drugs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or open conflict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multiple payor reimbursement regimes, government payers or patient self-pay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right="58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of doing business in another country;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116" w:lineRule="exact"/>
        <w:rPr>
          <w:rFonts w:ascii="Times New Roman" w:cs="Times New Roman" w:eastAsia="Times New Roman" w:hAnsi="Times New Roman"/>
          <w:sz w:val="18"/>
          <w:szCs w:val="18"/>
          <w:color w:val="auto"/>
        </w:rPr>
      </w:pPr>
    </w:p>
    <w:p>
      <w:pPr>
        <w:ind w:left="1020" w:right="58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substance legislation differs between countries and legislation in certain countries may restrict, limit, or delay our ability to manufacture and/or transport our product candidates;</w:t>
      </w:r>
    </w:p>
    <w:p>
      <w:pPr>
        <w:spacing w:after="0" w:line="54" w:lineRule="exact"/>
        <w:rPr>
          <w:rFonts w:ascii="Times New Roman" w:cs="Times New Roman" w:eastAsia="Times New Roman" w:hAnsi="Times New Roman"/>
          <w:sz w:val="18"/>
          <w:szCs w:val="18"/>
          <w:color w:val="auto"/>
        </w:rPr>
      </w:pPr>
    </w:p>
    <w:p>
      <w:pPr>
        <w:ind w:left="1020" w:right="80" w:hanging="504"/>
        <w:spacing w:after="0" w:line="25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import, export and re-export control and sanctions laws and regulations, which likelihood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trials, selling our products, and obtaining necessary permits, licenses, patent registrations, and other regulatory approvals</w:t>
      </w:r>
    </w:p>
    <w:p>
      <w:pPr>
        <w:spacing w:after="0" w:line="77"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data protection, and more burdensome obligations associated with the collection, use and retention of data, including clinical data and genetic material, may apply in jurisdictions outside of North America;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6" w:lineRule="exact"/>
        <w:rPr>
          <w:rFonts w:ascii="Times New Roman" w:cs="Times New Roman" w:eastAsia="Times New Roman" w:hAnsi="Times New Roman"/>
          <w:sz w:val="18"/>
          <w:szCs w:val="18"/>
          <w:color w:val="auto"/>
        </w:rPr>
      </w:pPr>
    </w:p>
    <w:p>
      <w:pPr>
        <w:ind w:left="1020" w:right="360" w:hanging="504"/>
        <w:spacing w:after="0" w:line="31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terrorism, and civil and political unrest (such as the ongoing conflicts in the Middle East and between Russia and Ukraine), or natural disasters including earthquakes, typhoons, floods and fires; and</w:t>
      </w:r>
    </w:p>
    <w:p>
      <w:pPr>
        <w:spacing w:after="0" w:line="31" w:lineRule="exact"/>
        <w:rPr>
          <w:rFonts w:ascii="Times New Roman" w:cs="Times New Roman" w:eastAsia="Times New Roman" w:hAnsi="Times New Roman"/>
          <w:sz w:val="17"/>
          <w:szCs w:val="17"/>
          <w:color w:val="auto"/>
        </w:rPr>
      </w:pPr>
    </w:p>
    <w:p>
      <w:pPr>
        <w:ind w:left="1020" w:right="50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other disruptions resulting from the impact of public health epidemics, including the COVID-19 pandemic, on our strategic partners, third-party manufacturers, suppliers and other third parties upon which we rely.</w:t>
      </w:r>
    </w:p>
    <w:p>
      <w:pPr>
        <w:spacing w:after="0" w:line="15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our international operations may preclude us from developing, manufacturing, and selling certain products outside of the United States and require us to develop and implement costly compliance programs.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FCPA is enforced by the Department of Justice and the SEC.</w:t>
      </w:r>
    </w:p>
    <w:p>
      <w:pPr>
        <w:spacing w:after="0" w:line="16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 clinics, universities and similar institutions are operated by the government, and doctors and other hospital employees are considered foreign officials. Certain payments to hospitals in connection with clinical trials, regulatory approvals, sales and marketing and other work have been deemed to be improper payments to government officials and have led to FCPA enforcement actions. Because the FCPA applies to indirect payments, the use of third parties and other collaborators can increase potential FCPA risk, as we could be held liable for the acts of third parties that do not comply with the FCPA’s requirements.</w:t>
      </w:r>
    </w:p>
    <w:p>
      <w:pPr>
        <w:spacing w:after="0" w:line="145"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penalties, including suspension or debarment from government contracting. Violation of the FCPA can result in significant civil and criminal penalties.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55"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Like the FCPA, the UK Bribery Act and other anti-corruption laws throughout the world similarly prohibit offers and payments made to obtain improper business advantages, including offers or payments to healthcare professionals and other government and non-government officials. These other anti-corruption laws also can result in substantial financial penalties and other collateral consequences.</w:t>
      </w:r>
    </w:p>
    <w:p>
      <w:pPr>
        <w:spacing w:after="0" w:line="13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As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1"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4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or our collaborators' ability to compete in international markets due to licensing requirements and subject us or them to liability if we or they are not in compliance with applicable laws.</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products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products outside of the United States must be made in compliance with these laws and regulations. If we or our collaborators fail to comply with these laws and regulations, we or they and certain of our or their employees could be subject to substantial civil or criminal penalties, including the possible loss of export or import privileges; fines, which may be imposed on us or our collaborators and the respective responsible employees or managers; and, in extreme cases, the incarceration of responsible employees or managers.</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conducted, and continue to conduct, clinical trials in various jurisdictions, including Russia and other Eastern European countries. In response to the conflict between Russia and Ukraine, the United States, the European Union, and other jurisdictions have imposed economic sanctions and other restrictions against certain officials, individuals, entities, regions, and industries in Russia, Ukraine, and Belarus. Such sanctions, and any further restrictions that may be promulgated, could adversely impact our ability to conduct our clinical program in certain jurisdictions. We will continue to closely monitor the geopolitical situation in Ukraine and its impact on our clinical trial operations.</w:t>
      </w:r>
    </w:p>
    <w:p>
      <w:pPr>
        <w:spacing w:after="0" w:line="18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spacing w:after="0" w:line="1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6"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consultants may engage in misconduct or other improper activities, including non-compliance with regulatory standards and requirements, which could cause significant liability for us and harm our reputation.</w:t>
      </w:r>
    </w:p>
    <w:p>
      <w:pPr>
        <w:spacing w:after="0" w:line="13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or consultant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It is not always possible to identify and deter employee or consultant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20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are highly dependent on the pharmaceutical research and development and business development expertise of our executive team, including Cedric Francois, M.D., Ph.D., our President and Chief Executive Officer. The members of our executive team are employed “at will,” meaning any of them may terminate his or her employment with us at any time with or without notice and for any reason or no reason. In the future, we may be dependent on other members of our management, scientific and development team.</w:t>
      </w:r>
    </w:p>
    <w:p>
      <w:pPr>
        <w:spacing w:after="0" w:line="14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4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restructuring and workforce reduction announced in August 2023, may not result in anticipated savings, could result in total costs and expenses that are greater than expected and could disrupt our business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2023, we announced that we were conducting a corporate restructuring and cost savings initiatives involving a headcount reduction of approximately 225 employees, or approximately 25% of our then current workforce. We have estimated that the restructuring and related cost reduction initiatives will result in up to $300 million in total cost savings through 2024. However, these estimates are subject to several assumptions, and actual results may differ. We may not realize, in full or in part, the anticipated benefits and savings from this restructuring due to unforeseen difficulties, delays or unexpected costs. If we are unable to realize the expected cost savings from the announced restructuring, our operating results and financial condition could be adversely affected. The workforce reduction may be disruptive to our operations and could yield unanticipated consequences, such as attrition beyond planned staff reductions, increased difficulties in our day-to-day operations and reduced employee morale, as well as result in weaknesses in our infrastructure and operations, and may increase the risk that we become unable to comply with legal and regulatory requirements. Our workforce reductions could also harm ability to attract and retain qualified management, scientific, clinical, and/or manufacturing personnel. Any failure to attract or retain qualified personnel could prevent us from successfully commercializing SYFOVRE and EMPAVELI and may adversely affect the development of our product candidates.</w:t>
      </w:r>
    </w:p>
    <w:p>
      <w:pPr>
        <w:sectPr>
          <w:pgSz w:w="11900" w:h="16838" w:orient="portrait"/>
          <w:cols w:equalWidth="0" w:num="1">
            <w:col w:w="11240"/>
          </w:cols>
          <w:pgMar w:left="320" w:top="768"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3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These risks may be particularly acute given the rapid growth in the size of our company.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disrupt our business, cause dilution to our stockholders or reduce our financial resources.</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 If an active trading market is not sustained, our ability to raise capital in the future may be impaired.</w:t>
      </w:r>
    </w:p>
    <w:p>
      <w:pPr>
        <w:spacing w:after="0" w:line="11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shares began trading on the Nasdaq Global Select Market on November 9, 2017. There is a risk that an active trading market for our shares may not be sustained, which could put downward pressure on the market price of our common stock and thereby affect the ability of stockholders to sell their shares.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our stockholders.</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4" w:lineRule="exact"/>
        <w:rPr>
          <w:sz w:val="20"/>
          <w:szCs w:val="20"/>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EMPAVELI and SYFOVRE;</w:t>
      </w:r>
    </w:p>
    <w:p>
      <w:pPr>
        <w:spacing w:after="0" w:line="116" w:lineRule="exact"/>
        <w:rPr>
          <w:rFonts w:ascii="Times New Roman" w:cs="Times New Roman" w:eastAsia="Times New Roman" w:hAnsi="Times New Roman"/>
          <w:sz w:val="18"/>
          <w:szCs w:val="18"/>
          <w:color w:val="auto"/>
        </w:rPr>
      </w:pPr>
    </w:p>
    <w:p>
      <w:pPr>
        <w:ind w:left="5540" w:right="3380" w:hanging="4514"/>
        <w:spacing w:after="0" w:line="406" w:lineRule="auto"/>
        <w:tabs>
          <w:tab w:leader="none" w:pos="14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pegcetacoplan and any other product candidates;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400" w:right="460" w:hanging="374"/>
        <w:spacing w:after="0" w:line="281" w:lineRule="auto"/>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discussions with regulatory authorities and regulatory actions with respect to our product candidates or our competitors’ products and product candidates;</w:t>
      </w:r>
    </w:p>
    <w:p>
      <w:pPr>
        <w:spacing w:after="0" w:line="54" w:lineRule="exact"/>
        <w:rPr>
          <w:rFonts w:ascii="Times New Roman" w:cs="Times New Roman" w:eastAsia="Times New Roman" w:hAnsi="Times New Roman"/>
          <w:sz w:val="18"/>
          <w:szCs w:val="18"/>
          <w:color w:val="auto"/>
        </w:rPr>
      </w:pPr>
    </w:p>
    <w:p>
      <w:pPr>
        <w:ind w:left="1400" w:right="460" w:hanging="374"/>
        <w:spacing w:after="0" w:line="281" w:lineRule="auto"/>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 or development programs;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development timelines;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hedging or other transactions in our securities in connection with our Convertible Notes;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40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example, the trading price of our common stock experienced significant volatility in 2023. On June 13, 2023, the closing price of our common stock on the Nasdaq Global Select Market was $93.31 and on August 7, 2023, the closing price of our common stock on the Nasdaq Global Select Market was $23.65.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chief executive officer have been named as defendants in lawsuits that could result in substantial costs and divert management’s attention.</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our chief executive officer have been named as defendants in a purported class action lawsuit initiated in 2023 that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plaintiffs seek, among other relief, compensatory damages and equitable relief in favor of the alleged class of plaintiffs against all defendants, including interest, and reasonable costs and expenses incurred by plaintiffs, including attorneys’ and expert fees. The outcome of the matter described above cannot be predicted with certainty. However, we intend to vigorously defend against the litigation.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attention and resources from other priorities, including the execution of business plans and strategies that are important to our ability to grow our business, any of which could have a material adverse effect on our business. Additional similar lawsuits might be filed. See “Part II, Item 1-Legal Proceedings”.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funds and may not use them effectively.</w:t>
      </w:r>
    </w:p>
    <w:p>
      <w:pPr>
        <w:spacing w:after="0" w:line="16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and cash equivalents and could spend our funds in ways that do not improve our results of operations or enhance the value of our common stock. The failure by our management to apply these funds effectively could result in financial losses that could harm our business, cause the price of our common stock to decline and delay the development of our product candidates. Pending their use, we may invest our funds in a manner that does not produce income or that loses value.</w:t>
      </w:r>
    </w:p>
    <w:p>
      <w:pPr>
        <w:spacing w:after="0" w:line="17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3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increase our legal and financial compliance costs and make some activities more time-consuming and costly.</w:t>
      </w:r>
    </w:p>
    <w:p>
      <w:pPr>
        <w:spacing w:after="0" w:line="18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33" w:lineRule="exact"/>
        <w:rPr>
          <w:sz w:val="20"/>
          <w:szCs w:val="20"/>
          <w:color w:val="auto"/>
        </w:rPr>
      </w:pPr>
    </w:p>
    <w:p>
      <w:pPr>
        <w:jc w:val="both"/>
        <w:ind w:right="360" w:firstLine="509"/>
        <w:spacing w:after="0" w:line="26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errors.</w:t>
      </w:r>
    </w:p>
    <w:p>
      <w:pPr>
        <w:spacing w:after="0" w:line="13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Our system of internal controls, however well-designed and operated, is based in part on certain assumptions and includes elements that rely on information from third parties. Our system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common stock could be negatively affected.</w:t>
      </w:r>
    </w:p>
    <w:p>
      <w:pPr>
        <w:spacing w:after="0" w:line="159"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 Failure to comply with reporting requirements could also subject us to sanctions and/or investigations by the SEC, The Nasdaq Stock Market or other regulatory authorities.</w:t>
      </w:r>
    </w:p>
    <w:p>
      <w:pPr>
        <w:spacing w:after="0" w:line="1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could cause the market price of our common stock to decline significantly, even if our business is doing well.</w:t>
      </w:r>
    </w:p>
    <w:p>
      <w:pPr>
        <w:spacing w:after="0" w:line="117"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registered all shares of common stock that we may issue under our equity compensation plans. As of December 31, 2023, we had options to purchase an aggregate of 8,663,776 shares of our common stock outstanding, of which options to purchase 6,712,201 shares were vested and 4,301,126 outstanding unvested restricted stock units that upon vesting would result in the issuance of 4,301,126 shares of our common stock. We also had pre-funded warrants to purchase 2,380,956 shares of our common stock outstanding. The shares issuable upon exercise or vesting can be freely sold in the public market upon issuance, subject to volume limitations applicable to affiliates. Moreover, holders of an aggregate of 10,778,303 shares of our common stock have rights, subject to conditions, to require us to file registration statements covering their shares or to include their shares in registration statements that we may file for ourselves or other stockholders. If these additional shares are sold, or if it is perceived that they will be sold, in the public market, the trading price of our common stock could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interpretation could adversely affect our business and financial condition.</w:t>
      </w:r>
    </w:p>
    <w:p>
      <w:pPr>
        <w:spacing w:after="0" w:line="202"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Changes in tax law could adversely affect our business or financial condition. For example, on December 22, 2017, the U.S. government enacted legislation, commonly referred to as the Tax Cuts and Jobs Act, or the TCJA, that significantly revised the Internal Revenue Code of 1986, as amended, or the Code. The TCJA, as amended by the Coronavirus Aid, Relief, and Economic Security Act, or CARES Act, among other things, contained significant changes to corporate taxation, including reduction of the</w:t>
      </w:r>
    </w:p>
    <w:p>
      <w:pPr>
        <w:sectPr>
          <w:pgSz w:w="11900" w:h="16838" w:orient="portrait"/>
          <w:cols w:equalWidth="0" w:num="1">
            <w:col w:w="11240"/>
          </w:cols>
          <w:pgMar w:left="320" w:top="768"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corporate tax rate from a top marginal rate of 35% to a flat rate of 21% for taxable years beginning after December 31, 2020 and limitation of the deduction for net operating losses to 80% of current year taxable income for losses arising in taxable years beginning after December 31, 2017 (though any such net operating losses may be carried forward indefinitely). In addition, beginning in 2022, the TCJA eliminates the option to deduct research and development expenditures currently and generally requires corporations to capitalize and amortize them over five years or 15 years (for expenditures attributable to foreign research).</w:t>
      </w:r>
    </w:p>
    <w:p>
      <w:pPr>
        <w:spacing w:after="0" w:line="155"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As part of Congress’ response to the COVID-19 pandemic, in addition to the CARES Act, economic relief legislation was enacted in 2020 and 2021 containing tax provisions. The IRA, which was signed into law in August 2022, also introduced new tax provisions, including a one percent excise tax imposed on certain stock repurchases by publicly traded corporations.</w:t>
      </w:r>
    </w:p>
    <w:p>
      <w:pPr>
        <w:spacing w:after="0" w:line="137"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Regulatory guidance under the TCJA, the IRA, and additional legislation is and continues to be forthcoming, and such guidance could ultimately increase or lessen the impact of these laws on our business and financial condition. Congress may enact additional legislations, some of which could have an impact on our company. In addition, it is uncertain if and to what extent various states will conform to such legislation.</w:t>
      </w:r>
    </w:p>
    <w:p>
      <w:pPr>
        <w:spacing w:after="0" w:line="137"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The enactment of some or all of the recommendations set forth or that may be forthcoming in the Organization for Economic Cooperation and Development’s (“OECD”) project on “Base Erosion and Profit Shifting” by tax authorities in the countries in which we operate, could unfavorably impact our effective tax rate. These initiatives focus on common international principles for the entitlement to tax global corporate profits and enactment of minimum global tax rate of 15%. Many countries have or are in the process of enacting legislation intended to implement the OECD Global Anti-Base Erosion (“GloBE”) Model Rules effective on January 01, 2024. The impact on the Company will depend on the timing of implementation, the exact nature of each country’s GloBE legislation, guidance, and regulations thereon and their application by the tax authorities either prospectively or retrospectively.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88"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both federal and state net operating loss carryforwards of $494.1 million and $524.0 million, respectively, and federal and state research and development tax credit carryforwards of $85.7 million and $20.2 million, respectively. Federal net operating loss carryforward generated post-2017 in the amount of $449.8 million may be carried forward indefinitely. The remaining net operating loss and research and development tax credit carryforward will begin to expire in 2025. These net operating loss and tax credit carryforwards could expire unused and be unavailable to offset future income tax liabilities. Under the TCJA, as modified by the CARES Act, federal net operating losses incurred in 2018 and in future years may be carried forward indefinitely, but the deductibility of such federal net operating losses in 2021 and future years is limited. Certain states have also enacted temporary suspension or limitation of the utilization of net operating loss carryforwards.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experienced a Section 382 ownership change in September 2015, which imposes annual limitations on our use of pre-change net operating loss carryforwards and other pre-change tax attributes. In addition, we may experience ownership changes in the future as a result of subsequent shifts in our stock ownership, some of which may be outside of our control. We have determined that our research and development credit carryforwards are also limited. These limitations upon our historical net operating loss and tax credit carryforwards may harm our future operating results by effectively increasing our future tax obligations. Refer to Note 14, “Income Taxes,” of the consolidated financial statements included in this Annual Report on Form 10-K for additional information related to our accounting for income taxes.</w:t>
      </w:r>
    </w:p>
    <w:p>
      <w:pPr>
        <w:spacing w:after="0" w:line="1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could challenge our historical and future tax positions or our allocation of taxable income among our subsidiaries, and tax laws to which we are subject could change in a manner adverse to us.</w:t>
      </w:r>
    </w:p>
    <w:p>
      <w:pPr>
        <w:spacing w:after="0" w:line="13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operate through various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Our transfer pricing arrangements are not generally binding on applicable tax authorities. The price charged for products, services, or the royalty rates and other amounts paid for intellectual property rights, could be challenged by the various tax authorities, resulting in additional tax liability, interest, and/or penalties. There can be no assurance that a taxing authority will not have a different interpretation of applicable law and assess us with additional taxes. If we are assessed with additional taxes, this may result in a material adverse effect on our results of operations and/or financial condition.</w:t>
      </w:r>
    </w:p>
    <w:p>
      <w:pPr>
        <w:spacing w:after="0" w:line="14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17" w:lineRule="exact"/>
        <w:rPr>
          <w:sz w:val="20"/>
          <w:szCs w:val="20"/>
          <w:color w:val="auto"/>
        </w:rPr>
      </w:pPr>
    </w:p>
    <w:p>
      <w:pPr>
        <w:ind w:right="580" w:firstLine="509"/>
        <w:spacing w:after="0" w:line="265" w:lineRule="auto"/>
        <w:rPr>
          <w:sz w:val="20"/>
          <w:szCs w:val="20"/>
          <w:color w:val="auto"/>
        </w:rPr>
      </w:pPr>
      <w:r>
        <w:rPr>
          <w:rFonts w:ascii="Times New Roman" w:cs="Times New Roman" w:eastAsia="Times New Roman" w:hAnsi="Times New Roman"/>
          <w:sz w:val="18"/>
          <w:szCs w:val="18"/>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change to existing rules, future changes, if any, or the need for us to modify a current tax or accounting position may adversely affect our reported financial results or the way we conduct our business.</w:t>
      </w:r>
    </w:p>
    <w:p>
      <w:pPr>
        <w:spacing w:after="0" w:line="13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117"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plan to retain all of our future earnings, if any, to finance the operation, development and growth of our business. In addition, the terms of our development funding agreement with SFJ, precludes us from paying dividends, and any future debt or credit agreements may also preclude us from paying dividends. As a result, capital appreciation, if any, of our common stock will be our stockholders’ sole source of gain for the foreseeable future.</w:t>
      </w:r>
    </w:p>
    <w:p>
      <w:pPr>
        <w:spacing w:after="0" w:line="13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and directors, entities associated with our executive officers and directors and our largest stockholders may allow these stockholders to significantly influence matters submitted to our stockholders for approval, as well as our management and affairs.</w:t>
      </w:r>
    </w:p>
    <w:p>
      <w:pPr>
        <w:spacing w:after="0" w:line="1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February 20, 2024, our executive officers and directors, and entities associated or affiliated with our executive officers and directors, in the aggregate, beneficially owned shares representing approximately 18.0% of our outstanding common stock, including one of our largest stockholders, Morningside Venture Investments Ltd., which beneficially owned approximately 10.7% of our outstanding common stock. As a result, if these stockholders were to choose to act together, they may have the ability to significantly influence all matters submitted to our stockholders for approval, as well as our management and affairs. For example, these persons, if they choose to act together, could substantially influence the election of directors and approval of any merger, consolidation or sale of all or substantially all of our assets. This concentration of ownership may:</w:t>
      </w:r>
    </w:p>
    <w:p>
      <w:pPr>
        <w:spacing w:after="0" w:line="78"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8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other investors purchased shares and have held their shares for a longer period, they may be more interested in selling our company to an acquirer than other investors or they may want us to pursue strategies that deviate from the interests of other stockholders.</w:t>
      </w:r>
    </w:p>
    <w:p>
      <w:pPr>
        <w:spacing w:after="0" w:line="17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4" w:lineRule="exact"/>
        <w:rPr>
          <w:rFonts w:ascii="Times New Roman" w:cs="Times New Roman" w:eastAsia="Times New Roman" w:hAnsi="Times New Roman"/>
          <w:sz w:val="18"/>
          <w:szCs w:val="18"/>
          <w:color w:val="auto"/>
        </w:rPr>
      </w:pPr>
    </w:p>
    <w:p>
      <w:pPr>
        <w:ind w:left="1020" w:right="340" w:hanging="503"/>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65"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9" w:lineRule="exact"/>
        <w:rPr>
          <w:rFonts w:ascii="Times New Roman" w:cs="Times New Roman" w:eastAsia="Times New Roman" w:hAnsi="Times New Roman"/>
          <w:sz w:val="18"/>
          <w:szCs w:val="18"/>
          <w:color w:val="auto"/>
        </w:rPr>
      </w:pPr>
    </w:p>
    <w:p>
      <w:pPr>
        <w:ind w:left="1020" w:right="220" w:hanging="503"/>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ectPr>
          <w:pgSz w:w="11900" w:h="16838" w:orient="portrait"/>
          <w:cols w:equalWidth="0" w:num="1">
            <w:col w:w="11220"/>
          </w:cols>
          <w:pgMar w:left="320" w:top="768" w:right="359" w:bottom="1440" w:gutter="0" w:footer="0" w:header="0"/>
        </w:sectPr>
      </w:pP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the best interests of our stockholders. These provisions may also prevent changes in our management or limit the price that investors are willing to pay for our stock.</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3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or our business. We do not have any control over these analysts. There can be no assurance that analysts will continue to cover us or provide favorable coverage. Securities or industry analysts may elect not to provide research coverage of our common stock,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8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our company and our directors, officers and employees.</w:t>
      </w:r>
    </w:p>
    <w:p>
      <w:pPr>
        <w:spacing w:after="0" w:line="13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will not apply to actions arising under the Securities Act of 1933, as amended, or the Securities Exchange Act of 1934, as amended.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information technology function and are designed to help protect our information assets and operations from internal and external cyber threats and employee, health care professionals, or HCPs, and patient information from unauthorized access or attack, as well as secure our networks and systems. Such processes include physical, procedural and technical safeguards, response plans, regular tests on our systems, incident simulations and routine review of our policies and procedures to identify risks and improve our practices. We engage certain external parties, including consultants, independent privacy assessors, and computer security firms to enhance our cybersecurity oversight. We consider the internal risk oversight programs of third-party service providers before engaging them in order to help protect us from any related vulnerabilities.</w:t>
      </w:r>
    </w:p>
    <w:p>
      <w:pPr>
        <w:spacing w:after="0" w:line="146"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We do not believe that there are currently any known risks from cybersecurity threats that are reasonably likely to materially affect us or our business strategy, results of operations or financial condition.</w:t>
      </w:r>
    </w:p>
    <w:p>
      <w:pPr>
        <w:spacing w:after="0" w:line="136"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The Audit Committee of the Board of Directors provides direct oversight over cybersecurity risk. The Audit Committee receives quarterly updates from management regarding cybersecurity matters, and is notified between such updates regarding significant new cybersecurity threats or incidents.</w:t>
      </w:r>
    </w:p>
    <w:p>
      <w:pPr>
        <w:spacing w:after="0" w:line="9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Head of Information Technology leads the operational oversight of company-wide cybersecurity strategy, policy, standards and processes and works across relevant departments to assess and help prepare us and our employees, HCPs and patients to address cybersecurity risks. The Head of Information Technology cybersecurity function brings security credentials and expertise, with broad global cybersecurity and compliance experience in life science, healthcare, and federal government. In addition to our cybersecurity</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a managed security service provider provides us with additional coverage to monitor, detect and respond to threats and vulnerabilities.</w:t>
      </w:r>
    </w:p>
    <w:p>
      <w:pPr>
        <w:spacing w:after="0" w:line="19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provide all employees, including part-time and temporary employees, with cybersecurity information and training, which covers timely and relevant topics, including social engineering, phishing, password protection, confidential data protection, asset use and mobile security, and educates employees on the importance of reporting all incidents immediately. Our third-party risk management program is integrated with global sourcing and procurement, and requires vendor risk assessments, incident reporting, and data protection controls. We also use technology-based tools to mitigate cybersecurity risks and to bolster our employee-based cybersecurity programs.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Details of our principal properties as of December 31, 2023, are provided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6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00" w:type="dxa"/>
            <w:vAlign w:val="bottom"/>
          </w:tcPr>
          <w:p>
            <w:pPr>
              <w:spacing w:after="0"/>
              <w:rPr>
                <w:sz w:val="13"/>
                <w:szCs w:val="13"/>
                <w:color w:val="auto"/>
              </w:rPr>
            </w:pPr>
          </w:p>
        </w:tc>
        <w:tc>
          <w:tcPr>
            <w:tcW w:w="1860" w:type="dxa"/>
            <w:vAlign w:val="bottom"/>
            <w:vMerge w:val="restart"/>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Size</w:t>
            </w:r>
          </w:p>
        </w:tc>
        <w:tc>
          <w:tcPr>
            <w:tcW w:w="140" w:type="dxa"/>
            <w:vAlign w:val="bottom"/>
          </w:tcPr>
          <w:p>
            <w:pPr>
              <w:spacing w:after="0"/>
              <w:rPr>
                <w:sz w:val="13"/>
                <w:szCs w:val="13"/>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7"/>
        </w:trPr>
        <w:tc>
          <w:tcPr>
            <w:tcW w:w="4100" w:type="dxa"/>
            <w:vAlign w:val="bottom"/>
            <w:tcBorders>
              <w:bottom w:val="single" w:sz="8" w:color="auto"/>
            </w:tcBorders>
            <w:vMerge w:val="continue"/>
          </w:tcPr>
          <w:p>
            <w:pPr>
              <w:spacing w:after="0"/>
              <w:rPr>
                <w:sz w:val="16"/>
                <w:szCs w:val="16"/>
                <w:color w:val="auto"/>
              </w:rPr>
            </w:pPr>
          </w:p>
        </w:tc>
        <w:tc>
          <w:tcPr>
            <w:tcW w:w="36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Waltham, MA, USA</w:t>
            </w:r>
          </w:p>
        </w:tc>
        <w:tc>
          <w:tcPr>
            <w:tcW w:w="36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Corporate Headquarters</w:t>
            </w: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77,818 sq. ft.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Francisco, CA, USA</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Office space</w:t>
            </w: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9,478 sq. ft.</w:t>
            </w:r>
          </w:p>
        </w:tc>
        <w:tc>
          <w:tcPr>
            <w:tcW w:w="14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Zug, Switzerland</w:t>
            </w:r>
          </w:p>
        </w:tc>
        <w:tc>
          <w:tcPr>
            <w:tcW w:w="36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Office space</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 sq. m.</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Melbourne, Australia</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Office space</w:t>
            </w: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sq. m.</w:t>
            </w:r>
          </w:p>
        </w:tc>
        <w:tc>
          <w:tcPr>
            <w:tcW w:w="14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Munich, Germany</w:t>
            </w:r>
          </w:p>
        </w:tc>
        <w:tc>
          <w:tcPr>
            <w:tcW w:w="36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Office space</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 sq. m.</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Subleased</w:t>
            </w: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Watertown, MA, USA</w:t>
            </w:r>
          </w:p>
        </w:tc>
        <w:tc>
          <w:tcPr>
            <w:tcW w:w="36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Lab space</w:t>
            </w: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 sq. ft.</w:t>
            </w:r>
          </w:p>
        </w:tc>
        <w:tc>
          <w:tcPr>
            <w:tcW w:w="14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 On October 2, 2023, the defendants moved to transfer the action to the United States District Court for the District of Massachusetts. The Court has not yet ruled on this motion.</w:t>
      </w:r>
    </w:p>
    <w:p>
      <w:pPr>
        <w:spacing w:after="0" w:line="14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President and Cedric Francois, our chief executive officer, as defendants, and makes similar allegations, asserts the same claims and seeks the same relief as the Complaint.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 matter described above cannot be predicted with certainty. However, we intend to vigorously defend against the litigation.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0" w:lineRule="exact"/>
        <w:rPr>
          <w:sz w:val="20"/>
          <w:szCs w:val="20"/>
          <w:color w:val="auto"/>
        </w:rPr>
      </w:pPr>
    </w:p>
    <w:p>
      <w:pPr>
        <w:ind w:right="1900"/>
        <w:spacing w:after="0" w:line="479"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“APLS” since November 9, 2017. Prior to that date, there was no public trading market for our common stock.</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8"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As of February 20, 2024, we had 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In addition, our development agreement with SFJ contains restrictive covenants that prohibit us, subject to certain exceptions, from paying dividends on our common stock, and future debt securities or other financing arrangements could contain similar or more restrictive negative covenants.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herein to Item 12 of Part III of this Annual Report on Form 10-K.</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of our future filings under the Securities Act of 1933, as amended, or the Securities Act, or the Exchange Act, except to the extent that we specifically incorporate it by reference into such filing.</w:t>
      </w:r>
    </w:p>
    <w:p>
      <w:pPr>
        <w:spacing w:after="0" w:line="14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between December 30, 2018 and December 31, 2023, with the cumulative total return of (a) the Nasdaq Composite Index and (b) the Nasdaq Biotechnology Index over the same period. The graph assumes the investment of $100 after the market close on December 31, 2018 in our common stock and each of the other indices described above. The comparisons are not intended to forecast or be indicative of future performance of our common stock. All amounts shown are based on the closing price of our common stock. Data for the Nasdaq Composite Index and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109855</wp:posOffset>
            </wp:positionV>
            <wp:extent cx="5017770" cy="34163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7770" cy="341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diseases with high unmet need and that are driven by excessive complement activation.</w:t>
      </w:r>
    </w:p>
    <w:p>
      <w:pPr>
        <w:spacing w:after="0" w:line="155" w:lineRule="exact"/>
        <w:rPr>
          <w:sz w:val="20"/>
          <w:szCs w:val="20"/>
          <w:color w:val="auto"/>
        </w:rPr>
      </w:pPr>
    </w:p>
    <w:p>
      <w:pPr>
        <w:ind w:right="40" w:firstLine="509"/>
        <w:spacing w:after="0" w:line="280" w:lineRule="auto"/>
        <w:rPr>
          <w:sz w:val="20"/>
          <w:szCs w:val="20"/>
          <w:color w:val="auto"/>
        </w:rPr>
      </w:pPr>
      <w:r>
        <w:rPr>
          <w:rFonts w:ascii="Times New Roman" w:cs="Times New Roman" w:eastAsia="Times New Roman" w:hAnsi="Times New Roman"/>
          <w:sz w:val="17"/>
          <w:szCs w:val="17"/>
          <w:color w:val="auto"/>
        </w:rPr>
        <w:t>In February 2023, the U.S. Food and Drug Administration, or the FDA, approved SYFOVRE (pegcetacoplan injection), the first approved treatment for geographic atrophy secondary to age-related macular degeneration, or GA. We believe SYFOVRE has the potential to be a best-in-class treatment for patients with GA, a disease that affects more than one million people in the United States and five million people worldwide. We launched SYFOVRE in the United States in March 2023. For the year ended December 31, 2023, we generated $275.2 million in net product revenue from sales of SYFOVRE.</w:t>
      </w:r>
    </w:p>
    <w:p>
      <w:pPr>
        <w:spacing w:after="0" w:line="12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December 2022, we also submitted a marketing authorization application, or MAA, to the European Medicines Agency, or EMA, for intravitreal pegcetacoplan for the treatment of GA. The EMA subsequently provided MAA validation and the application is under review. In January 2024, we announced that the Committee for Medicinal Products for Human Use, or CHMP, adopted a negative opinion on the MAA for intravitreal pegcetacoplan. We are initiating the re-examination of the application. Additionally, we received validation of our marketing applications by regulatory authorities in Canada, Australia, the United Kingdom, and Switzerland for the treatment of GA. We have exclusive, worldwide commercialization rights for intravitreal pegcetacoplan.</w:t>
      </w:r>
    </w:p>
    <w:p>
      <w:pPr>
        <w:spacing w:after="0" w:line="14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we d</w:t>
      </w:r>
      <w:r>
        <w:rPr>
          <w:rFonts w:ascii="Times New Roman" w:cs="Times New Roman" w:eastAsia="Times New Roman" w:hAnsi="Times New Roman"/>
          <w:sz w:val="18"/>
          <w:szCs w:val="18"/>
          <w:color w:val="212121"/>
        </w:rPr>
        <w:t xml:space="preserve">isclosed that we had received reports of a small number of events of retinal vasculitis following SYFOVRE treatment. As of mid-February 2024, and following the distribution of more than 200,000 doses (commercial and sample) of SYFOVRE, </w:t>
      </w:r>
      <w:r>
        <w:rPr>
          <w:rFonts w:ascii="Times New Roman" w:cs="Times New Roman" w:eastAsia="Times New Roman" w:hAnsi="Times New Roman"/>
          <w:sz w:val="18"/>
          <w:szCs w:val="18"/>
          <w:color w:val="000000"/>
        </w:rPr>
        <w:t>we estimate that the rate of incidence of</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retinal vasculitis remains rare at approximately 0.01% per injection. In November 2023, we updated the U.S. Prescribing Information, or USPI, for SYFOVRE in collaboration with the FDA to include the events of retinal vasculitis with or without occlusion as part of the “Warnings and Precautions and Adverse Reactions – Postmarketing Experience” sections of the USPI. </w:t>
      </w:r>
      <w:r>
        <w:rPr>
          <w:rFonts w:ascii="Times New Roman" w:cs="Times New Roman" w:eastAsia="Times New Roman" w:hAnsi="Times New Roman"/>
          <w:sz w:val="18"/>
          <w:szCs w:val="18"/>
          <w:color w:val="212121"/>
        </w:rPr>
        <w:t>We believe that the reports of retinal vasculitis had an adverse impact on our sales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SYFOVRE during the year ended December 31, 2023.</w:t>
      </w:r>
    </w:p>
    <w:p>
      <w:pPr>
        <w:spacing w:after="0" w:line="159"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The U.S. Centers for Medicare &amp; Medicaid Services assigned a permanent and product-specific J-code for SYFOVRE, which became effective on October 1, 2023. J-codes are permanent reimbursement codes used by government payers and commercial insurers to facilitate billing of Medicare Part B treatments, which must be administered by a healthcare professional.</w:t>
      </w:r>
    </w:p>
    <w:p>
      <w:pPr>
        <w:spacing w:after="0" w:line="13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May 2021, the FDA approved EMPAVELI (pegcetacoplan), the first targeted C3 therapy for the treatment of paroxysmal nocturnal hemoglobinuria, or PNH. EMPAVELI is approved for use in adults with PNH and can be used by patients who are either treatment-naïve or who are switching from C5 inhibitors eculizumab or ravulizumab. We believe that EMPAVELI has the potential to elevate the standard of care in PNH and are seeking to establish EMPAVELI as the preferred first-line treatment for patients. In the United States, there are approximately 1,500 patients with PNH currently being treated with C5 inhibitors and another 150 patients who are expected to be newly diagnosed each year. In October 2023, the FDA approved the EMPAVELI injector, a compact, single-use, on-body device designed to enhance self-administration of EMPAVELI. For the years ended December 31, 2023 and 2022, we generated $91.0 million and $65.1 million, respectively, in net product revenue from sales of EMPAVELI.</w:t>
      </w:r>
    </w:p>
    <w:p>
      <w:pPr>
        <w:spacing w:after="0" w:line="14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2021, the European Commission, or the EC, approved Aspaveli (pegcetacoplan) for the treatment of adults with PNH who are anemic after treatment with a C5 inhibitor for at least three months. In January 2024, following the submission of the Phase 3 PRINCE data in treatment-naïve PNH patients, the EC updated the Aspaveli indication statement to include all PNH patients with hemolytic anemia. To date, systemic pegcetacoplan has also been approved for the treatment of PNH in Japan, Saudi Arabia, Australia, the United Kingdom and other jurisdictions. Systemic pegcetacoplan is currently marketed under the trade name EMPAVELI in the United States, Saudi Arabia and Australia and Aspaveli in the European Union, Japan and United Kingdom. Under our collaboration and license agreement, or the Sobi collaboration agreement, with Swedish Orphan Biovitrum AB (Publ), or Sobi, Sobi has global co-development and exclusive ex-U.S. commercialization rights for systemic pegcetacoplan and initiated the commercial launch of EMPAVELI/Aspaveli in jurisdictions outside of the United States during the first quarter of 2022. We have commercialization rights for systemic pegcetacoplan in the United States.</w:t>
      </w:r>
    </w:p>
    <w:p>
      <w:pPr>
        <w:spacing w:after="0" w:line="159"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believe that inhibition of the complement system by targeting C3 may enable a broad range of therapeutic approaches, and that pegcetacoplan has the potential to address the limitations of existing treatment options or provide a treatment option in indications</w:t>
      </w:r>
    </w:p>
    <w:p>
      <w:pPr>
        <w:sectPr>
          <w:pgSz w:w="11900" w:h="16838" w:orient="portrait"/>
          <w:cols w:equalWidth="0" w:num="1">
            <w:col w:w="11220"/>
          </w:cols>
          <w:pgMar w:left="320" w:top="768" w:right="359" w:bottom="1440"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where there currently are none. Under our collaboration with Sobi, we are leading the development of systemic pegcetacoplan in C3 glomerulopathy, or C3G, and immune complex membranoproliferative glomerulonephritis, or IC-MPGN, in nephrology. We are also evaluating the administration of systemic pegcetacoplan as a novel approach to enabling adeno associated virus, or AAV, vector administration for gene therapies.</w:t>
      </w:r>
    </w:p>
    <w:p>
      <w:pPr>
        <w:spacing w:after="0" w:line="1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our collaboration with Sobi, we are co-developing systemic pegcetacoplan for hematopoietic stem cell transplantation-associated thrombotic microangiopathy, or HSCT-TMA, in hematology. In January 2024, Sobi, with our agreement, discontinued the CASCADE Phase 3 trial evaluating systemic pegcetacoplan in patients with cold agglutinin disease, or CAD, due to the decreased medical need in CAD and the limited number of patients eligible for the CASCADE trial. In May 2023, we and Sobi announced that the Phase 2 MERIDIAN study evaluating systemic pegcetacoplan for amyotrophic lateral sclerosis, or ALS, did not meet its primary or key secondary endpoints. Based on this lack of efficacy, we and Sobi discontinued development of systemic pegcetacoplan for ALS.</w:t>
      </w:r>
    </w:p>
    <w:p>
      <w:pPr>
        <w:spacing w:after="0" w:line="14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are developing additional product candidates with other routes of administration. These candidates include APL-3007, a small interfering RNA, or siRNA, which is in a Phase 1 clinical trial in healthy volunteers, as well as an oral complement inhibitor in preclinical development. Furthermore, we are collaborating with Beam Therapeutics, Inc., or Beam, on up to six research programs focused on C3 and other complement targets in the eye, liver and brain, using Beam’s proprietary base editing technology to discover new treatments for complement-driven diseases.</w:t>
      </w:r>
    </w:p>
    <w:p>
      <w:pPr>
        <w:spacing w:after="0" w:line="14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and executing the commercial launch of our products and providing general and administrative support for these operations.</w:t>
      </w:r>
    </w:p>
    <w:p>
      <w:pPr>
        <w:spacing w:after="0" w:line="1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third quarter of 2023, we effected a workforce reduction of approximately 225 employees, or approximately 25% of our then current workforce. Pursuant to the restructuring, we determined to (i) continue to support the U.S. commercial launch of SYFOVRE and prepare for potential ex-U.S. launches (ii) reduce EMPAVELI expenses through a more focused commercial and medical PNH organization, (iii) prioritize research initiatives in retina and central nervous system diseases and (iv) continue our collaboration with Beam. At that time, we estimated that the corporate restructuring and associated reduction in workforce would result in total cost savings of up to $300 million through 2024, including more than $70 million in expected net costs savings related to the reduction in workforce and up to $230 million related to elimination of planned external expenses. Our workforce reduction was substantially completed in the three months ended September 30, 2023. We do not expect to incur any material additional costs relating to the workforce reduction in 2024.</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financed our operations primarily through $1.9 billion in net proceeds from public offerings of our common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Stock and pre-funded warrants to purchase common stock, $535.8 million in net proceeds from offerings of Convertible Notes, a $250.0 million up-front payment and $65.0 million development reimbursement payments from Sobi pursuant to the Sobi collaboration agreement, $112.6 million in proceeds from the private placement of shares of our convertible preferred stock prior to our initial public offering, or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$425.4 million and converted $0.7 million of aggregate principal amount of our Convertible Notes for shares of our common stock</w:t>
      </w:r>
    </w:p>
    <w:p>
      <w:pPr>
        <w:spacing w:after="0" w:line="18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each year since our inception and expect to continue to incur net operating losses for at least this year. Our net losses were $528.6 million, $652.2 million, and $746.4 million for the years ended December 31, 2023, 2022 and 2021, respectively. As of December 31, 2023, we had an accumulated deficit of $2.8 billion.</w:t>
      </w:r>
    </w:p>
    <w:p>
      <w:pPr>
        <w:spacing w:after="0" w:line="17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SFJ Agreement</w:t>
      </w:r>
    </w:p>
    <w:p>
      <w:pPr>
        <w:spacing w:after="0" w:line="16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February 28, 2019, we entered into a development funding agreement, which we refer to as the SFJ agreement, with SFJ Pharmaceuticals Group, or SFJ, under which SFJ agreed to provide funding to us to support the development of systemic pegcetacoplan for the treatment of patients with PNH. Pursuant to the agreement, SFJ paid us $60.0 million following the signing of the agreement and agreed to pay us up to an additional $60.0 million in the aggregate in three equal installments upon the achievement of specified development milestones with respect to our Phase 3 program for pegcetacoplan in PNH and subject to our having cash resources at the time sufficient to fund at least 10 months of our operations.</w:t>
      </w:r>
    </w:p>
    <w:p>
      <w:pPr>
        <w:spacing w:after="0" w:line="15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In June 2019 we amended the SFJ agreement to include an additional $20 million funding payment. SFJ paid us $80.0 million under the amended SFJ agreement between June 2019 and January 2020.</w:t>
      </w:r>
    </w:p>
    <w:p>
      <w:pPr>
        <w:spacing w:after="0" w:line="163" w:lineRule="exact"/>
        <w:rPr>
          <w:sz w:val="20"/>
          <w:szCs w:val="20"/>
          <w:color w:val="auto"/>
        </w:rPr>
      </w:pPr>
    </w:p>
    <w:p>
      <w:pPr>
        <w:ind w:firstLine="253"/>
        <w:spacing w:after="0" w:line="256" w:lineRule="auto"/>
        <w:rPr>
          <w:sz w:val="20"/>
          <w:szCs w:val="20"/>
          <w:color w:val="auto"/>
        </w:rPr>
      </w:pPr>
      <w:r>
        <w:rPr>
          <w:rFonts w:ascii="Times New Roman" w:cs="Times New Roman" w:eastAsia="Times New Roman" w:hAnsi="Times New Roman"/>
          <w:sz w:val="18"/>
          <w:szCs w:val="18"/>
          <w:color w:val="auto"/>
        </w:rPr>
        <w:t>Under the SFJ agreement, following regulatory approvals by the FDA and the EC for the use of systemic pegcetacoplan as a treatment for PNH, we paid SFJ $4.0 million in 2021 in connection with the FDA approval in May 2021 and $5.0 million in January 2022 in connection with the EC approval in December 2021. In addition, we paid $11.5 million in connection with the one-year anniversary of the FDA approval in May 2022 and $18.0 million in connection with the one-year anniversary of the EC approval in December 2022 and $24.5 million in connection with the two-year anniversary of FDA approval in May 2023 and $31.0 million in connection with the two-year anniversary of EC approval in December 2023. We are obligated to pay SFJ additional payments due on each anniversary of FDA and EC regulatory approval through 2027.</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spacing w:after="0" w:line="122"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3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On May 12, 20</w:t>
      </w:r>
      <w:r>
        <w:rPr>
          <w:rFonts w:ascii="Times New Roman" w:cs="Times New Roman" w:eastAsia="Times New Roman" w:hAnsi="Times New Roman"/>
          <w:sz w:val="18"/>
          <w:szCs w:val="18"/>
          <w:color w:val="212529"/>
        </w:rPr>
        <w:t>20, we issued convertible notes, or the 2020 Convertible Notes, with an aggregate principal amount of $300.0 million. The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proceeds from the sale of the 2020 Convertible Notes were approximately $322.9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15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2019 Conve</w:t>
      </w:r>
      <w:r>
        <w:rPr>
          <w:rFonts w:ascii="Times New Roman" w:cs="Times New Roman" w:eastAsia="Times New Roman" w:hAnsi="Times New Roman"/>
          <w:sz w:val="18"/>
          <w:szCs w:val="18"/>
          <w:color w:val="212529"/>
        </w:rPr>
        <w:t>rtible Notes and the 2020 Convertible Notes are referred to together as the Convertible Notes. The Convertible Notes are our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4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 governing the Convertible Notes, or the Indenture.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60" w:hanging="503"/>
        <w:spacing w:after="0" w:line="265" w:lineRule="auto"/>
        <w:tabs>
          <w:tab w:leader="none" w:pos="1020" w:val="left"/>
        </w:tabs>
        <w:numPr>
          <w:ilvl w:val="0"/>
          <w:numId w:val="49"/>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9" w:lineRule="exact"/>
        <w:rPr>
          <w:rFonts w:ascii="Times New Roman" w:cs="Times New Roman" w:eastAsia="Times New Roman" w:hAnsi="Times New Roman"/>
          <w:sz w:val="18"/>
          <w:szCs w:val="18"/>
          <w:color w:val="212529"/>
        </w:rPr>
      </w:pPr>
    </w:p>
    <w:p>
      <w:pPr>
        <w:ind w:left="1020" w:hanging="503"/>
        <w:spacing w:after="0" w:line="265"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69" w:lineRule="exact"/>
        <w:rPr>
          <w:rFonts w:ascii="Times New Roman" w:cs="Times New Roman" w:eastAsia="Times New Roman" w:hAnsi="Times New Roman"/>
          <w:sz w:val="18"/>
          <w:szCs w:val="18"/>
          <w:color w:val="auto"/>
        </w:rPr>
      </w:pPr>
    </w:p>
    <w:p>
      <w:pPr>
        <w:ind w:left="1020" w:right="200" w:hanging="503"/>
        <w:spacing w:after="0" w:line="281" w:lineRule="auto"/>
        <w:tabs>
          <w:tab w:leader="none" w:pos="10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jc w:val="center"/>
        <w:ind w:right="80"/>
        <w:spacing w:after="0" w:line="265"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spacing w:after="0" w:line="15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December 31, 2023.</w:t>
      </w:r>
    </w:p>
    <w:p>
      <w:pPr>
        <w:spacing w:after="0" w:line="149"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3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used an effective interest rate of 10.5% to determine the liability component of the 2019 and 2020 Convertible Notes. This resulted in the recognition of $145.1 million and $204.5 million as the liability component of the 2019 and 2020 Convertible Notes, respectively, and the recognition of the residual amount of $74.9 million and $95.5 million as the debt discount with a corresponding increase to additional paid in capital for the equity component of the 2019 and 2020 Convertible Notes, respectively. The 2020 Convertible Notes aggregate debt issuance costs of $6.0 million were allocated to the liability and equity components in the amounts of $3.7 and $2.3 million, respectively. The 2019 Convertible Notes aggregate debt issuance costs of $7.1 million were allocated to the liability and equity components in the amounts of $4.7 million and $2.4 million, respectively.</w:t>
      </w:r>
    </w:p>
    <w:p>
      <w:pPr>
        <w:spacing w:after="0" w:line="1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January 2021, July 2021 and July 2022, we entered into separate, privately negotiated exchange agreements to modify the conversion terms with certain holders of the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we issued. In accordance with ASC Topic 470-20, “Debt – Debt with Conversion and Other Options,” or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spacing w:after="0" w:line="18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As a result of the January 2021 exchange transactions, we reduced net debt outstanding and increased net equity on the consolidated balance sheet by $122.8 million, consisting of the par value of the 2019 Convertible Notes exchanged of $126.1 million less the $3.3 million of remaining debt issuance costs associated with the exchanged notes. We also increased shares outstanding by 3,906,869 shares consisting of 3,196,172 shares issued at the initial conversion rate in the Indenture of 25.3405 plus an additional 710,697 shares. Additionally, we issued 69,491 shares as settlement of debt issuance costs paid to our financial advisor in connection with the exchange transaction. For the three months ended March 31, 2021, we recorded a loss on conversion of debt of $39.5 million comprised of $36.4 million related to the value of the shares issued in excess of the original conversion terms at the fair market value and $3.1 million for the value of the 69,491 shares issued in payment of issuance costs at their then fair value. Upon exchange of the 2019 Convertible Notes, the holders forfeited accrued interest through the date of the exchange of $1.7 million, which we charged to interest expense and to equity.</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result of the July 2021 exchange transactions, we reduced net debt outstanding and increased net equity on the consolidated balance sheet by $197.0 million, consisting of the par value of the Convertible Notes exchanged of $201.1 million less the $4.1 million of remaining debt issuance costs associated with the exchanged notes. We also increased shares outstanding by 5,992,217 shares consisting of 5,097,166 shares issued at the initial conversion rate in the Indenture of 25.3405 plus an additional 895,051 shares. Additionally, we issued 78,419 shares as settlement of issuance costs paid to our financial advisor in connection with the exchange transaction. For the three months ended September 30, 2021, we recorded a loss on conversion of debt of $61.1 million comprised of $55.9 million related to the value of the shares issued in excess of the original conversion terms at the fair market value and $5.2 million for the value of the 78,419 shares issued in payment of issuance costs at their then fair value. Upon exchange of the Convertible Notes, the holders forfeited accrued interest through the date of the exchange of $2.5 million, which we charged to interest expense and to equity.</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As a result of the July 2022 exchange transactions, we reduced net debt outstanding and increased net equity on the consolidated balance sheet by $96.8 million, consisting of the par value of the Convertible Notes exchanged of $98.1 million less the $1.3 million of remaining debt issuance costs associated with the exchanged notes. We also increased shares outstanding by 3,027,018 shares consisting of 2,485,548 shares issued at the initial conversion rate in the Indenture of 25.3405 plus an additional 541,470 shares. Additionally, we issued 46,132 shares as settlement of issuance costs paid to our financial advisor in connection with the exchange transaction. For the three months ended September 30, 2022, we recorded a loss on conversion of debt of $32.9 million comprised of $30.4 million related to the value of the shares issued in excess of the original conversion terms at the fair market value and $2.5 million for the value of the 46,132 shares issued in payment of issuance costs at their then fair value. Upon exchange of the Convertible Notes, the holders forfeited accrued interest through the date of the exchange of $1.3 million, which we charged to interest expense and to equity.</w:t>
      </w:r>
    </w:p>
    <w:p>
      <w:pPr>
        <w:spacing w:after="0" w:line="192"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A conditional conversion feature of the Convertible Notes was triggered as of June 30, 2021, and as a result the Convertible Notes were convertible at the option of the holders until September 30, 2021. During this period, certain holders of the Convertible Notes converted approximately $0.7 million of aggregate principal amount of Convertible Notes into an aggregate of 18,775 shares, which were issued in October 2021.</w:t>
      </w:r>
    </w:p>
    <w:p>
      <w:pPr>
        <w:spacing w:after="0" w:line="177"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again triggered as of December 31, 2023, and as a result the Convertible Notes are convertible at the option of the holders until March 31, 2024.</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held in treasury Convertible Notes in principal amount of $425.4 million which notes had not been cancelled.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$93.9 million principal amount of Convertible Notes remained outstanding and held by third parties as of December 31, 2023.</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12529"/>
        </w:rPr>
        <w:t>In September 2019 and May 2020, concurrently with the pricing of the 2019 Convertible Notes and 2020 Convertible Notes, respectively, we entered into capped call transactions with two counterparties. The capped call transactions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our common stock, as measured under the terms of the capped call transactions, exceeds $63.14, the cap price of the capped call transactions, there would nevertheless be dilution and/or there would not be an offset of such potential cash payments, in each case, to the extent that such market price exceeds the cap price of the capped call transactions.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18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212529"/>
        </w:rPr>
        <w:t xml:space="preserve">On October 27, 2020, we entered into the Sobi collaboration agreement, concerning the development and commercialization of pegcetacoplan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agreement, Sobi made an upfront payment of $250.0 million in November 2020, and agreed to pay up to an aggregate of $915.0 million upon the achievement of specified one-time regulatory and commercial milestone events, of which we received $50.0 million in April 2022 for the achievement of a regulatory development milestone in Europe and $5.0 million in October 2023 for the achievement of a regulatory development milestone in Japan. Following our and Sobi’s decision to discontinue development of systemic pegcetacoplan for CAD and ALS, we will not achieve the milestones related to those indications, which represent $120.0 million of the $915.0 million aggregate amount. Sobi also agreed to reimburse us for up to $80.0 million in development costs, of which we received $25.0 million in January 2021, $20.0 million in January 2022 and $20.0 million in January 2023. In January 2024, we waived the payment of the final reimbursement payment of $15.0 million in connection with the decision to discontinue the CAD program.</w:t>
      </w:r>
    </w:p>
    <w:p>
      <w:pPr>
        <w:spacing w:after="0" w:line="168" w:lineRule="exact"/>
        <w:rPr>
          <w:sz w:val="20"/>
          <w:szCs w:val="20"/>
          <w:color w:val="auto"/>
        </w:rPr>
      </w:pPr>
    </w:p>
    <w:p>
      <w:pPr>
        <w:ind w:right="180" w:firstLine="554"/>
        <w:spacing w:after="0" w:line="258" w:lineRule="auto"/>
        <w:rPr>
          <w:sz w:val="20"/>
          <w:szCs w:val="20"/>
          <w:color w:val="auto"/>
        </w:rPr>
      </w:pPr>
      <w:r>
        <w:rPr>
          <w:rFonts w:ascii="Times New Roman" w:cs="Times New Roman" w:eastAsia="Times New Roman" w:hAnsi="Times New Roman"/>
          <w:sz w:val="18"/>
          <w:szCs w:val="18"/>
          <w:color w:val="auto"/>
        </w:rPr>
        <w:t>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 and for our payment obligations to SFJ.</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our collaboration arrangement with Sobi.</w:t>
      </w:r>
    </w:p>
    <w:p>
      <w:pPr>
        <w:spacing w:after="0" w:line="400"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02" w:lineRule="exact"/>
        <w:rPr>
          <w:sz w:val="20"/>
          <w:szCs w:val="20"/>
          <w:color w:val="auto"/>
        </w:rPr>
      </w:pPr>
    </w:p>
    <w:p>
      <w:pPr>
        <w:ind w:left="260" w:right="1920" w:firstLine="256"/>
        <w:spacing w:after="0" w:line="453" w:lineRule="auto"/>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in the United States</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Licensing and Collaboration Revenue</w:t>
      </w:r>
    </w:p>
    <w:p>
      <w:pPr>
        <w:spacing w:after="0" w:line="1" w:lineRule="exact"/>
        <w:rPr>
          <w:sz w:val="20"/>
          <w:szCs w:val="20"/>
          <w:color w:val="auto"/>
        </w:rPr>
      </w:pPr>
    </w:p>
    <w:p>
      <w:pPr>
        <w:ind w:right="660" w:firstLine="509"/>
        <w:spacing w:after="0" w:line="281"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88"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EMPAVELI and SYFOVRE, royalties owed to our licensor for such sales, and certain period costs.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5" w:lineRule="exact"/>
        <w:rPr>
          <w:sz w:val="20"/>
          <w:szCs w:val="20"/>
          <w:color w:val="auto"/>
        </w:rPr>
      </w:pPr>
    </w:p>
    <w:p>
      <w:pPr>
        <w:ind w:left="1020" w:right="260" w:hanging="503"/>
        <w:spacing w:after="0" w:line="281"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4"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84"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by program.</w:t>
      </w:r>
    </w:p>
    <w:p>
      <w:pPr>
        <w:spacing w:after="0" w:line="14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pegcetacoplan or any other potential product candidates. This is due to the numerous risks and uncertainties associated with developing therapeutics, including the uncertainties of:</w:t>
      </w:r>
    </w:p>
    <w:p>
      <w:pPr>
        <w:spacing w:after="0" w:line="74"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6" w:lineRule="exact"/>
        <w:rPr>
          <w:rFonts w:ascii="Times New Roman" w:cs="Times New Roman" w:eastAsia="Times New Roman" w:hAnsi="Times New Roman"/>
          <w:sz w:val="18"/>
          <w:szCs w:val="18"/>
          <w:color w:val="auto"/>
        </w:rPr>
      </w:pPr>
    </w:p>
    <w:p>
      <w:pPr>
        <w:ind w:left="5480" w:right="1880" w:hanging="4963"/>
        <w:spacing w:after="0" w:line="406"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18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3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8"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bonuses, benefits and share-based compensation. Other significant costs include facility costs not otherwise included in research and development expenses, legal fees relating to patent and corporate matters, and fees for accounting and consulting services.</w:t>
      </w:r>
    </w:p>
    <w:p>
      <w:pPr>
        <w:spacing w:after="0" w:line="137"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continued research and development activities, potential commercialization of our product candidates and costs of operating as a public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in the notes to our consolidated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15"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As of December 31, 2023, our revenues from net product sales were generated in the United States following the FDA’s approval for marketing of EMPAVELI for the treatment of PNH in May 2021 and SYFOVRE for the treatment of GA in February 2023. We sell EMPAVELI and SYFOVRE principally through arrangements with specialty pharmacies, or SPs, and specialty distributors, or SDs, who are our customers. The customers subsequently resell the product to patients and health care providers.</w:t>
      </w:r>
    </w:p>
    <w:p>
      <w:pPr>
        <w:spacing w:after="0" w:line="18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account for contracts with its customers in accordance with ASC 606. Pursuant to ASC 606, for arrangements or transactions between arrangement participants determined to be within the scope of the contracts with customers guidance, we perform the following five steps to determine the appropriate amount of revenue to be recognized as we fulfill our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spacing w:after="0" w:line="186"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We recognize revenue from product sales at the net sales price which includes estimates of variable consideration for which reserves are established and reflects each of these as a reduction to the revenue. Overall, these reserves reflect our best estimates of the amount of consideration to which we are entitled based on the terms of the contract. The amount of variable consideration that is included in the transaction price may be constrained. Actual amounts of consideration ultimately received may differ from our estimates. If actual results in the future vary from estimates, we may need to adjust its estimates, which would affect net revenue in the period of adjustment. The following are our significant categories of sales discounts and allowances:</w:t>
      </w:r>
    </w:p>
    <w:p>
      <w:pPr>
        <w:spacing w:after="0" w:line="172"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Distribution Fees: Distribution fees include distribution service fees paid to SPs and SDs based on a contractually fixed percentage of the wholesale acquisition cost, or WAC. We do not receive a distinct good or service in exchange for the payment.</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Distribution fees are recorded as an offset to revenue based on contractual terms at the time revenue from the sale is recognized.</w:t>
      </w:r>
    </w:p>
    <w:p>
      <w:pPr>
        <w:spacing w:after="0" w:line="225" w:lineRule="exact"/>
        <w:rPr>
          <w:sz w:val="20"/>
          <w:szCs w:val="20"/>
          <w:color w:val="auto"/>
        </w:rPr>
      </w:pPr>
    </w:p>
    <w:p>
      <w:pPr>
        <w:ind w:right="40" w:firstLine="509"/>
        <w:spacing w:after="0" w:line="288" w:lineRule="auto"/>
        <w:rPr>
          <w:sz w:val="20"/>
          <w:szCs w:val="20"/>
          <w:color w:val="auto"/>
        </w:rPr>
      </w:pPr>
      <w:r>
        <w:rPr>
          <w:rFonts w:ascii="Times New Roman" w:cs="Times New Roman" w:eastAsia="Times New Roman" w:hAnsi="Times New Roman"/>
          <w:sz w:val="17"/>
          <w:szCs w:val="17"/>
          <w:color w:val="auto"/>
        </w:rPr>
        <w:t>Chargebacks: Chargebacks are discounts and fees related to contracts with various third-party payers including pharmacy benefit managers, private healthcare insurers and government healthcare programs that purchase from SDs at a discounted price. SDs charge back to us the difference between the price initially paid by SDs and the discounted price paid to SDs by these entities. We issue credit notes for the chargeback which are applied to future sales.</w:t>
      </w:r>
    </w:p>
    <w:p>
      <w:pPr>
        <w:spacing w:after="0" w:line="159"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Product Returns: Consistent with industry practice, we offer SPs and SDs limited product return rights for damages, shipment errors, and expiring product; provided that the return is within a specified period around the product expiration date as set forth in the</w:t>
      </w:r>
    </w:p>
    <w:p>
      <w:pPr>
        <w:spacing w:after="0" w:line="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applicable individual distribution agreement. We do not allow product returns for product that has been dispensed to a patient. As we receive inventory reports from SPs and SDs and have visibility into the inventory distribution channel, we are able to make a reasonable estimate of future potential product returns based on this on-hand channel inventory data and sell-through data obtained from SPs and SDs. In arriving at our estimate for product returns, we also consider historical product returns, the underlying product demand, and industry data specific to the specialty pharmaceutical distribution industry.</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Revenue</w:t>
      </w:r>
    </w:p>
    <w:p>
      <w:pPr>
        <w:spacing w:after="0" w:line="188"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On October 27, 2020, we entered into the collaboration agreement with Sobi concerning the development and commercialization of pegcetacoplan and specified other compstatin analogues or derivatives for use systemically or for local non-ophthalmic administration, collectively referred to as the Licensed Products. See “Business—Collaboration and License Agreement with Sobi” for a description of the key terms of our collaboration agreement with Sobi.</w:t>
      </w:r>
    </w:p>
    <w:p>
      <w:pPr>
        <w:spacing w:after="0" w:line="180"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 xml:space="preserve">We have determined that the collaboration agreement is within the scope of ASC Topic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or ASC 808, as a contractual arrangement that involves a joint operating activity whereby both parties are (i) active participants in the activity and (ii) exposed to certain significant risks and rewards dependent on the commercial success of the activity. ASC Topic 808 does not address measurement or recognition matters but allows for analogizing to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Pursuant to ASC 606, we performed the following five steps: (i) identified the contract with a customer; (ii) identified the performance obligations in the contract; (iii) determined the transaction price; (iv) allocated the transaction price to the performance obligations in the contract; and (v) recognized revenue when the entity satisfied a performance obligation.</w:t>
      </w:r>
    </w:p>
    <w:p>
      <w:pPr>
        <w:spacing w:after="0" w:line="14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identified the following material promises under the Sobi Agreement: (1) licenses to develop and commercialize pegcetacoplan, or Licenses to IP, and (2) performance of research and development services. We determined the promises to be distinct because Sobi can benefit from each of the license and the development services on their own or with readily available services. We could have provided the license without any development services and Sobi would have been able to benefit from it by obtaining development services from another provider as the Licensed Products are at a more mature stage in their life cycle.</w:t>
      </w:r>
    </w:p>
    <w:p>
      <w:pPr>
        <w:spacing w:after="0" w:line="14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inception of the collaboration agreement, we considered the $250.0 million non-refundable payment and the $80.0 million fixed proceeds. We also evaluated whether Sobi is a customer for either of the distinct promises in the agreement. Under the Licenses to IP, we determined that Sobi is a customer as the know-how provided and the rights granted by us to Sobi are outputs of our business activities for which we will receive consideration. With respect to research and development activity, management determined that there is no vendor relationship as performing research and development activities for others is not a part of our ongoing central operations. Based upon the evaluation of the relative fair values, we allocated the purchase price of $250.0 million and the related milestones and royalties to the license of IP and $80.0 million to performance of research and development activities.</w:t>
      </w:r>
    </w:p>
    <w:p>
      <w:pPr>
        <w:spacing w:after="0" w:line="186" w:lineRule="exact"/>
        <w:rPr>
          <w:sz w:val="20"/>
          <w:szCs w:val="20"/>
          <w:color w:val="auto"/>
        </w:rPr>
      </w:pPr>
    </w:p>
    <w:p>
      <w:pPr>
        <w:ind w:right="160" w:firstLine="469"/>
        <w:spacing w:after="0" w:line="272" w:lineRule="auto"/>
        <w:rPr>
          <w:sz w:val="20"/>
          <w:szCs w:val="20"/>
          <w:color w:val="auto"/>
        </w:rPr>
      </w:pPr>
      <w:r>
        <w:rPr>
          <w:rFonts w:ascii="Times New Roman" w:cs="Times New Roman" w:eastAsia="Times New Roman" w:hAnsi="Times New Roman"/>
          <w:sz w:val="17"/>
          <w:szCs w:val="17"/>
          <w:color w:val="auto"/>
        </w:rPr>
        <w:t>The milestone and royalty payments are subject to activities outside our control. Per ASC 606, we consider this to be a customer/ vendor relationship; therefore, we will include the regulatory milestone payments in the total transaction price when it is probable that a significant reversal of revenue would not occur in a future period. We will recognize commercial milestone and royalty revenue at the later of (i) when the related sales occur or</w:t>
      </w:r>
    </w:p>
    <w:p>
      <w:pPr>
        <w:spacing w:after="0" w:line="1" w:lineRule="exact"/>
        <w:rPr>
          <w:sz w:val="20"/>
          <w:szCs w:val="20"/>
          <w:color w:val="auto"/>
        </w:rPr>
      </w:pPr>
    </w:p>
    <w:p>
      <w:pPr>
        <w:jc w:val="both"/>
        <w:ind w:right="140" w:firstLine="8"/>
        <w:spacing w:after="0" w:line="255" w:lineRule="auto"/>
        <w:tabs>
          <w:tab w:leader="none" w:pos="2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performance obligation to which the commercial milestone or royalty has been allocated has been satisfied. In case of commercial milestone or royalty payments, we will recognize revenue in the same period that the sales are completed for which we are contractually entitled to the milestone or percentage-based royalty payment. For the year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ended December 31, 2023, we have recognized $10.0 million of royalty revenue. Management periodically assesses the elements of the contract and re-evaluate revenue recognition as necessary.</w:t>
      </w:r>
    </w:p>
    <w:p>
      <w:pPr>
        <w:spacing w:after="0" w:line="14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Pursuant to ASC 606, the $250.0 million non-refundable upfront payment is recognized as revenue as this is the amount allocated to the license. The $80.0 million reimbursement for research and development activities does not constitute a customer/vendor relationship and, thus, is not in the scope of ASC 606. As ASC 808 does not include recognition guidance we have established an accounting policy to recognize the payments under the reimbursement as a receivable on the balance sheet in an amount that is to be reimbursed based upon expense incurred by us, with a contra- research and development expense recognized in the statement of operations, over time as the expenses are incurred. See Note 12, License and Collaboration Agreements, included in the Notes to Consolidated Financial Statements included in this Annual Report on Form 10-K, for more information related to the Sobi Collaboration and License Agreement.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Cost of Research Collaboration Arrangement</w:t>
      </w:r>
    </w:p>
    <w:p>
      <w:pPr>
        <w:spacing w:after="0" w:line="215" w:lineRule="exact"/>
        <w:rPr>
          <w:sz w:val="20"/>
          <w:szCs w:val="20"/>
          <w:color w:val="auto"/>
        </w:rPr>
      </w:pPr>
    </w:p>
    <w:p>
      <w:pPr>
        <w:ind w:right="220" w:firstLine="469"/>
        <w:spacing w:after="0" w:line="260" w:lineRule="auto"/>
        <w:rPr>
          <w:sz w:val="20"/>
          <w:szCs w:val="20"/>
          <w:color w:val="auto"/>
        </w:rPr>
      </w:pPr>
      <w:r>
        <w:rPr>
          <w:rFonts w:ascii="Times New Roman" w:cs="Times New Roman" w:eastAsia="Times New Roman" w:hAnsi="Times New Roman"/>
          <w:sz w:val="18"/>
          <w:szCs w:val="18"/>
          <w:color w:val="auto"/>
        </w:rPr>
        <w:t>We analyze research collaboration arrangements pursuant to ASC 808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If each party is actively participating in this activity and exposed to significant risks and rewards related to the activity, each party’s costs will be accounted for under ASC 808.</w:t>
      </w:r>
    </w:p>
    <w:p>
      <w:pPr>
        <w:spacing w:after="0" w:line="155" w:lineRule="exact"/>
        <w:rPr>
          <w:sz w:val="20"/>
          <w:szCs w:val="20"/>
          <w:color w:val="auto"/>
        </w:rPr>
      </w:pPr>
    </w:p>
    <w:p>
      <w:pPr>
        <w:jc w:val="both"/>
        <w:ind w:right="260" w:firstLine="469"/>
        <w:spacing w:after="0" w:line="288" w:lineRule="auto"/>
        <w:rPr>
          <w:sz w:val="20"/>
          <w:szCs w:val="20"/>
          <w:color w:val="auto"/>
        </w:rPr>
      </w:pPr>
      <w:r>
        <w:rPr>
          <w:rFonts w:ascii="Times New Roman" w:cs="Times New Roman" w:eastAsia="Times New Roman" w:hAnsi="Times New Roman"/>
          <w:sz w:val="17"/>
          <w:szCs w:val="17"/>
          <w:color w:val="auto"/>
        </w:rPr>
        <w:t>Since ASC 808 does not provide recognition guidance, we refer to the guidance under ASC 730 to arrangements involving our payments to third parties. ASC 730 requires us to recognize research and developments costs as expense as incurred since there is no alternative use. See Note 12, License and Collaboration Agreements, in the Notes to Consolidated Financial Statements included in this Annual Report on Form 10-K for more information.</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first-in, first-out basis. Inventory costs include third-party contract manufacturing, third-party packaging services, and freight. We perform an assessment of the recoverability of capitalized inventory during each reporting period and write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If actual market conditions are less favorable than projected by management, additional write-downs of inventory may be required which would be recorded as a cost of sales in the consolidated statements of operations and comprehensive loss.</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Prior to regulatory approval of our product candidates, we expense costs associated with the manufacture of our product candidates to research and development expense unless we are reasonably certain such costs have future commercial use and net realizable value. When we believe regulatory approval and subsequent commercialization of our product candidates is probable, and we also expect future economic benefit from the sales of the product candidates to be realized, we will then capitalize the costs of production as inventory. Inventory that can be used in either the production of clinical or commercial product is expensed as research and development expense when selected for use in a clinical manufacturing campaign.</w:t>
      </w:r>
    </w:p>
    <w:p>
      <w:pPr>
        <w:spacing w:after="0" w:line="182"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color w:val="auto"/>
        </w:rPr>
        <w:t>Prior to receiving FDA approval for EMPAVELI and SYFOVRE the costs associated with the manufacturing of EMPAVELI and SYFOVRE inventory were expensed as incurred as research and development expense. As a result, the manufacturing costs related to the EMPAVELI and SYFOVRE inventory build-up incurred before FDA approval were already expensed in a prior period and are therefore excluded from the cost of goods sold.</w:t>
      </w:r>
    </w:p>
    <w:p>
      <w:pPr>
        <w:spacing w:after="0" w:line="159"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Shipping and handling costs for product shipments are recorded as incurred in cost of sales along with costs associated with manufacturing the product and any inventory write-downs.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services performed by CROs and contract manufacturing organizations, or CMOs, in connection with research and development activities for which we have not yet been invoiced.</w:t>
      </w:r>
    </w:p>
    <w:p>
      <w:pPr>
        <w:spacing w:after="0" w:line="13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CROs and CMOs on our estimates of the services received and efforts expended pursuant to quotes and contracts with CROs and CMOs. The financial terms of these agreements are subject to negotiation, vary from contract to contract and may result in uneven payment flows. There may be instances in which payments made to our CROs and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8"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On September 16, 2019, we completed a private offering of the 2019 Convertible Notes with an aggregate principal amount of $220.0 million. On May 12, 2020, we issued the 2020 Convertible Notes with an aggregate principal amount of $300.0 million.</w:t>
      </w:r>
    </w:p>
    <w:p>
      <w:pPr>
        <w:spacing w:after="0" w:line="12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12529"/>
        </w:rPr>
        <w:t xml:space="preserve">The Convertible Notes are convertible into shares of our common stock at an initial conversion rate of 25.3405 shares per $1,000 principal amount of the </w:t>
      </w:r>
      <w:r>
        <w:rPr>
          <w:rFonts w:ascii="Times New Roman" w:cs="Times New Roman" w:eastAsia="Times New Roman" w:hAnsi="Times New Roman"/>
          <w:sz w:val="18"/>
          <w:szCs w:val="18"/>
          <w:color w:val="000000"/>
        </w:rPr>
        <w:t>Convertible Notes,</w:t>
      </w:r>
      <w:r>
        <w:rPr>
          <w:rFonts w:ascii="Times New Roman" w:cs="Times New Roman" w:eastAsia="Times New Roman" w:hAnsi="Times New Roman"/>
          <w:sz w:val="18"/>
          <w:szCs w:val="18"/>
          <w:color w:val="212529"/>
        </w:rPr>
        <w:t xml:space="preserve">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are required to increase the conversion rate for a holder who elects to convert its notes in connection with such corporate event or a notice of redemption, as the case may be, in certain circumstances as provided in the Indenture. </w:t>
      </w:r>
      <w:r>
        <w:rPr>
          <w:rFonts w:ascii="Times New Roman" w:cs="Times New Roman" w:eastAsia="Times New Roman" w:hAnsi="Times New Roman"/>
          <w:sz w:val="18"/>
          <w:szCs w:val="18"/>
          <w:color w:val="000000"/>
        </w:rPr>
        <w:t>The Convertible Notes are subject to redemption at our option, as of September 20,</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2023, if certain conditions are met. The redemption price is equal to 100% of the principal amount of the notes to be redeemed, plus accrued and unpaid interest to, but excluding, the redemption date.</w:t>
      </w:r>
    </w:p>
    <w:p>
      <w:pPr>
        <w:spacing w:after="0" w:line="160"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January 2021, July 2021 and July 2022, we entered into separate, privately negotiated exchange agreements to modify the conversion terms with certain holders of the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us. In accordance with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spacing w:after="0" w:line="13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January 2021 exchange transactions, we reduced net debt outstanding and increased net equity on the consolidated balance sheet by $122.8 million, consisting of the par value of the 2019 Convertible Notes exchanged of $126.1 million less the $3.3 million of remaining debt issuance costs associated with the exchanged notes. We also increased shares outstanding by 3,906,869 shares consisting of 3,196,172 shares issued at the initial conversion rate in the Indenture of 25.3405 plus an additional 710,697 shares. Additionally, we issued 69,491 shares as settlement of debt issuance costs paid to our financial advisor in connection with the exchange transaction.</w:t>
      </w:r>
    </w:p>
    <w:p>
      <w:pPr>
        <w:spacing w:after="0" w:line="14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Asa result of the July 2021 exchange transactions, we reduced net debt outstanding and increased net equity on the consolidated balance sheet by $197.0 million, consisting of the par value of the Convertible Notes exchanged of $201.1 million less the $4.1 million of remaining debt issuance costs associated with the exchanged notes. We also increased shares outstanding by 5,992,217 shares consisting of 5,097,166 shares issued at the initial conversion rate in the Indenture of 25.3405 plus an additional 895,051 shares. Additionally, we issued 78,419 shares as settlement of issuance costs paid to our financial advisor in connection with the exchange transaction.</w:t>
      </w:r>
    </w:p>
    <w:p>
      <w:pPr>
        <w:spacing w:after="0" w:line="18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July 2022 exchange transactions, we reduced net debt outstanding and increased net equity on the consolidated balance sheet by $96.8 million, consisting of the par value of the Convertible Notes exchanged of $98.1 million less the $1.3 million of remaining debt issuance costs associated with the exchanged notes. We also increased shares outstanding by 3,027,018 shares consisting of 2,485,548 shares issued at the initial conversion rate in the Indenture of 25.3405 plus an additional 541,470 shares. Additionally, we issued 46,132 shares as settlement of issuance costs paid to our financial advisor in connection with the exchange transaction.</w:t>
      </w:r>
    </w:p>
    <w:p>
      <w:pPr>
        <w:spacing w:after="0" w:line="155"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June 30, 2021, and as a result the Convertible Notes were convertible at the option of the holders until September 30, 2021. During this period, certain holders of the Convertible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Notes converted approximately $0.7 million of aggregate principal amount of Convertible Notes into an aggregate of 18,775 shares, which were issued in October 2021.</w:t>
      </w:r>
    </w:p>
    <w:p>
      <w:pPr>
        <w:spacing w:after="0" w:line="163"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are convertible at the option of the holders until March 31, 2024.</w:t>
      </w:r>
    </w:p>
    <w:p>
      <w:pPr>
        <w:spacing w:after="0" w:line="136"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212529"/>
        </w:rPr>
        <w:t xml:space="preserve">As of December 31 2023, we held $425.4 million principal of exchanged notes in treasury and such notes have not been cancelled. </w:t>
      </w:r>
      <w:r>
        <w:rPr>
          <w:rFonts w:ascii="Times New Roman" w:cs="Times New Roman" w:eastAsia="Times New Roman" w:hAnsi="Times New Roman"/>
          <w:sz w:val="18"/>
          <w:szCs w:val="18"/>
          <w:color w:val="000000"/>
        </w:rPr>
        <w:t>Approximately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$93.9 million principal amount of Convertible Notes was outstanding and held by third parties as of December 31, 2023.</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212529"/>
        </w:rPr>
        <w:t xml:space="preserve">On September 11, 2019, and May 6, 2020, concurrently with the pricing of the 2019 </w:t>
      </w:r>
      <w:r>
        <w:rPr>
          <w:rFonts w:ascii="Times New Roman" w:cs="Times New Roman" w:eastAsia="Times New Roman" w:hAnsi="Times New Roman"/>
          <w:sz w:val="18"/>
          <w:szCs w:val="18"/>
          <w:color w:val="000000"/>
        </w:rPr>
        <w:t>Convertible Notes and 2020 Convertible Notes, respectively</w:t>
      </w:r>
      <w:r>
        <w:rPr>
          <w:rFonts w:ascii="Times New Roman" w:cs="Times New Roman" w:eastAsia="Times New Roman" w:hAnsi="Times New Roman"/>
          <w:sz w:val="18"/>
          <w:szCs w:val="18"/>
          <w:color w:val="212529"/>
        </w:rPr>
        <w:t xml:space="preserve">, we entered into capped call transactions with two counterparties. The capped call transactions are expected generally to reduce the potential dilution to our common stock upon any conversion of notes and/or offset any cash payments we are required to make in excess of the principal amount of the </w:t>
      </w:r>
      <w:r>
        <w:rPr>
          <w:rFonts w:ascii="Times New Roman" w:cs="Times New Roman" w:eastAsia="Times New Roman" w:hAnsi="Times New Roman"/>
          <w:sz w:val="18"/>
          <w:szCs w:val="18"/>
          <w:color w:val="000000"/>
        </w:rPr>
        <w:t>Convertible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12529"/>
        </w:rPr>
        <w:t>, as the case may be, in the event that the market price per share of our common stock, as measured under the terms of the capped call transactions,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greater than the strike price of the capped call transactions, which is initially $39.4625 (the conversion price of the </w:t>
      </w:r>
      <w:r>
        <w:rPr>
          <w:rFonts w:ascii="Times New Roman" w:cs="Times New Roman" w:eastAsia="Times New Roman" w:hAnsi="Times New Roman"/>
          <w:sz w:val="18"/>
          <w:szCs w:val="18"/>
          <w:color w:val="000000"/>
        </w:rPr>
        <w:t>Convertible Notes</w:t>
      </w:r>
      <w:r>
        <w:rPr>
          <w:rFonts w:ascii="Times New Roman" w:cs="Times New Roman" w:eastAsia="Times New Roman" w:hAnsi="Times New Roman"/>
          <w:sz w:val="18"/>
          <w:szCs w:val="18"/>
          <w:color w:val="212529"/>
        </w:rPr>
        <w:t>) and is subject to anti-dilution adjustments substantially similar to those applicable to the conversion rate of such notes. If, however, the market price per share of our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Development Liability</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12529"/>
        </w:rPr>
        <w:t>On May 14, 2021, we obtained regulatory approval of EMPAVELI in the United States from the FDA. On December 15, 2021, we obtained regulatory approval in the European Union from the EMA. Following the FDA and EMA approvals, we are obligated to make payments following pre-determined fixed payment schedules as set forth in the SFJ agreement and SFJ amendment to pay SFJ the initial and subsequent annual payments totaling $456.0 million as of December 31, 2021 (excluding the $4.0 million initial payment for FDA approval made in June 2021) with the initial payment for EMA approval of $5.0 million due January 2022, which we paid in January 2022, and final annual payment due December 2027. From December 15, 2021 and thereafter until the final annual payment is due in December 2027, the development liability will be accreted from its initial carrying amount to the total payment amount using the effective interest rate method under ASC 835 over the remaining life of the SFJ agreement. The difference between the carrying amount and the total payment amount is presented as discount to the development liability. The accretion is recorded as interest expense in the consolidated income statement.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 together with the dollar increase or decrease and percentage change in those items: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301,189</w:t>
            </w:r>
          </w:p>
        </w:tc>
        <w:tc>
          <w:tcPr>
            <w:tcW w:w="18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463 %</w:t>
            </w: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80" w:type="dxa"/>
            <w:vAlign w:val="bottom"/>
          </w:tcPr>
          <w:p>
            <w:pPr>
              <w:spacing w:after="0"/>
              <w:rPr>
                <w:sz w:val="22"/>
                <w:szCs w:val="22"/>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321,169</w:t>
            </w: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426 %</w:t>
            </w: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52,874</w:t>
            </w:r>
          </w:p>
        </w:tc>
        <w:tc>
          <w:tcPr>
            <w:tcW w:w="18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938 %</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354,387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387,236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(32,849 )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500,815</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277,163</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223,652</w:t>
            </w:r>
          </w:p>
        </w:tc>
        <w:tc>
          <w:tcPr>
            <w:tcW w:w="180" w:type="dxa"/>
            <w:vAlign w:val="bottom"/>
          </w:tcPr>
          <w:p>
            <w:pPr>
              <w:spacing w:after="0"/>
              <w:rPr>
                <w:sz w:val="22"/>
                <w:szCs w:val="22"/>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670,035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243,677</w:t>
            </w: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(517,121 )</w:t>
            </w: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(594,613 )</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77,492</w:t>
            </w:r>
          </w:p>
        </w:tc>
        <w:tc>
          <w:tcPr>
            <w:tcW w:w="1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debt</w:t>
            </w:r>
          </w:p>
        </w:tc>
        <w:tc>
          <w:tcPr>
            <w:tcW w:w="3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(32,890 )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32,890</w:t>
            </w:r>
          </w:p>
        </w:tc>
        <w:tc>
          <w:tcPr>
            <w:tcW w:w="1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8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(29,581 )</w:t>
            </w: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(32,626 )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(727 )</w:t>
            </w: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(288 )</w:t>
            </w:r>
          </w:p>
        </w:tc>
        <w:tc>
          <w:tcPr>
            <w:tcW w:w="24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(439 )</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line="20" w:lineRule="exact"/>
              <w:rPr>
                <w:sz w:val="1"/>
                <w:szCs w:val="1"/>
                <w:color w:val="auto"/>
              </w:rPr>
            </w:pPr>
          </w:p>
        </w:tc>
      </w:tr>
      <w:tr>
        <w:trPr>
          <w:trHeight w:val="228"/>
        </w:trPr>
        <w:tc>
          <w:tcPr>
            <w:tcW w:w="4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(526,496 )</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(651,503 )</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125,007</w:t>
            </w:r>
          </w:p>
        </w:tc>
        <w:tc>
          <w:tcPr>
            <w:tcW w:w="1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8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(528,628 )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(652,172 )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123,544</w:t>
            </w:r>
          </w:p>
        </w:tc>
        <w:tc>
          <w:tcPr>
            <w:tcW w:w="1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-2525395</wp:posOffset>
            </wp:positionV>
            <wp:extent cx="641350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-2208530</wp:posOffset>
            </wp:positionV>
            <wp:extent cx="641350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-1899920</wp:posOffset>
            </wp:positionV>
            <wp:extent cx="641350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-1275080</wp:posOffset>
            </wp:positionV>
            <wp:extent cx="641350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-967105</wp:posOffset>
            </wp:positionV>
            <wp:extent cx="641350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-1591945</wp:posOffset>
            </wp:positionV>
            <wp:extent cx="6413500"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13500" cy="16256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-658495</wp:posOffset>
            </wp:positionV>
            <wp:extent cx="641350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13500" cy="16256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-341630</wp:posOffset>
            </wp:positionV>
            <wp:extent cx="6413500"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13500" cy="162560"/>
                    </a:xfrm>
                    <a:prstGeom prst="rect">
                      <a:avLst/>
                    </a:prstGeom>
                    <a:noFill/>
                  </pic:spPr>
                </pic:pic>
              </a:graphicData>
            </a:graphic>
          </wp:anchor>
        </w:drawing>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Our product revenue, net is derived from sales of EMPAVELI and SYFOVRE sales in the United States. We recognized $366.3 million and $65.1 million of net product revenue as of December 31, 2023 and 2022, respectively. The net product revenue of $366.3 million for the year ended December 31, 2023, consists of $91.0 million in net product revenue from sales of EMPAVELI and $275.2 million in net product revenue from sales of SYFOVRE. The net product revenue of $65.1 million for the year ended December 31, 2023 consisted solely of net product revenue from sales of EMPAVELI. SYFOVRE was approved by the FDA in February 2023 and we did not record any net product revenue from sales of SYFOVRE in the year ended December 31, 2022.</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Licensing and other revenue was $30.3 million and $10.3 million for the year ended December 31, 2023 and 2022, respectively. Licensing and other revenue of $30.3 million for the year ended December 31, 2023 consisted of $10.0 million in revenue from product supplied to Sobi, $15.3 million in royalty revenue from Sobi and $5.0 million from collaboration with Sobi. Licensing and other revenue of $10.3 million for the year ended December 31, 2022 consisted of $7.3 million in revenue from product supplied to Sobi and $3.0 million in royalty revenue from Sobi.</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Cost of sales was $58.5 million and $5.6 million for the year ended December 31, 2023 and 2022, respectively. The increase in cost of sales was primarily driven by a $22.9 million increase due to increased product volume from commercial sales and product provided under our patient assistance programs, a $7.0 million increase from cost of supply provided under the Sobi collaboration agreement, a $11.2 million increase in royalty expense, a $6.5 million increase due to the achievement of various sales-based milestones, a $0.5 million increase due to a sublicense fee, and a $4.9 million increase in expenses incurred related to excess or obsolete inventory.</w:t>
      </w:r>
    </w:p>
    <w:p>
      <w:pPr>
        <w:spacing w:after="0" w:line="7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prior to receiving FDA approval for EMPAVELI on May 14, 2021, the costs associated with the manufacture of EMPAVELI inventory were expensed as incurred as research and development expense. This resulted in inventory being sold during the years ended December 31, 2023 and 2022 for which a portion of the costs had been previously expensed prior to FDA approval. We expect this to continue to impact the cost of sales as the remaining pre-FDA inventory is sold to customers. As of December 31, 2023, the remaining pre-FDA approved inventory was $19.4 million, which primarily consisted of raw materials.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2023 and 2022, together with the dollar increase or decrease and percentage change in those items: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(3,450 )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IC-MPGN &amp; C3G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(7,498 )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(4,044 )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HSCT-TMA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82,325</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(30,247 )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20" w:type="dxa"/>
            <w:vAlign w:val="bottom"/>
          </w:tcPr>
          <w:p>
            <w:pPr>
              <w:spacing w:after="0"/>
              <w:rPr>
                <w:sz w:val="22"/>
                <w:szCs w:val="22"/>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(19,759 )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29,089</w:t>
            </w:r>
          </w:p>
        </w:tc>
        <w:tc>
          <w:tcPr>
            <w:tcW w:w="22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(22,087 )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line="20" w:lineRule="exact"/>
              <w:rPr>
                <w:sz w:val="1"/>
                <w:szCs w:val="1"/>
                <w:color w:val="auto"/>
              </w:rPr>
            </w:pPr>
          </w:p>
        </w:tc>
      </w:tr>
      <w:tr>
        <w:trPr>
          <w:trHeight w:val="232"/>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29,089</w:t>
            </w: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(22,087 )</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8"/>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2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51"/>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354,387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387,236</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(32,849 )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-2054225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$32.8 million to $354.4 million for the year ended December 31, 2023 from $387.2 million for the year ended December 31, 2022, a decrease of 8%. The decrease in research and development expenses was primarily attributable to a $19.8 million decrease in program specific external costs and a $22.1 million decrease in non-program specific external costs, which were partially offset by a $8.0 million increase in compensation and related personnel costs and $1.0 million increase in other internal costs.</w:t>
      </w:r>
    </w:p>
    <w:p>
      <w:pPr>
        <w:spacing w:after="0" w:line="182"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decrease in our program-specific external costs of $19.8 million largely reflects reduced GA costs as a result of the impact of the approval of SYFOVRE in February 2023 and the discontinuation of the Phase 2 MERIDIAN study for ALS. These decreases were partially offset by increases in study costs consistent with the progression of our Phase 2 NOBLE trial and Phase 3 VALIANT trial for IC-MPGN and C3G as well as increases in other development and discovery programs.</w:t>
      </w:r>
    </w:p>
    <w:p>
      <w:pPr>
        <w:spacing w:after="0" w:line="182"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The increase in compensation and related personnel costs was driven by a $5.2 million increase in salaries and benefits due to higher headcount compared to the prior year, a $1.9 million increase in severance costs related to the reduction in workforce announced in August 2023 and a $0.9 million increase in stock compensation expense associated with the grant of stock options and restricted stock units to employees. Other internal costs increased due to a $1.0 million increase in travel related expenses.</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$223.6 million to $500.8 million for the year ended December 31, 2023, from $277.2 million for the year ended December 31, 2022, an increase of 81%. The increase was primarily attributable to an increase in employee related costs of $84.4 million, an increase in commercialization related activity of $123.2 million, an increase in professional and consulting fees of $3.2 million, an increase in travel related expenses of $5.0 million and higher office costs of $8.2 million. The increase was partially offset by a decrease in other expenses of $0.4 million. The increase in employee related costs of $84.4 million consisted of $66.8 million increase in salaries and benefits primarily due to commercialization activities to support the launch of SYFOVRE, an increase in termination costs of $5.1 million due to workforce reduction, and an increase of $14.2 million related to stock compensation expense associated with the grant of stock options and restricted stock units to employees, partially offset by a decrease in recruiting expenses of $1.7 million.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Loss on Conversion of Debt</w:t>
      </w:r>
    </w:p>
    <w:p>
      <w:pPr>
        <w:spacing w:after="0" w:line="227" w:lineRule="exact"/>
        <w:rPr>
          <w:sz w:val="20"/>
          <w:szCs w:val="20"/>
          <w:color w:val="auto"/>
        </w:rPr>
      </w:pPr>
    </w:p>
    <w:p>
      <w:pPr>
        <w:ind w:right="660" w:firstLine="509"/>
        <w:spacing w:after="0" w:line="312" w:lineRule="auto"/>
        <w:rPr>
          <w:sz w:val="20"/>
          <w:szCs w:val="20"/>
          <w:color w:val="auto"/>
        </w:rPr>
      </w:pPr>
      <w:r>
        <w:rPr>
          <w:rFonts w:ascii="Times New Roman" w:cs="Times New Roman" w:eastAsia="Times New Roman" w:hAnsi="Times New Roman"/>
          <w:sz w:val="17"/>
          <w:szCs w:val="17"/>
          <w:color w:val="auto"/>
        </w:rPr>
        <w:t>Loss on conversion of debt was $32.9 million for the year ended December 31, 2022. See Note 8, Long-term Debt in the Notes to Condensed Consolidated Financial Statements included in this Annual Report on Form 10-K, for additional details regarding the conversion of debt.</w:t>
      </w:r>
    </w:p>
    <w:p>
      <w:pPr>
        <w:sectPr>
          <w:pgSz w:w="11900" w:h="16838" w:orient="portrait"/>
          <w:cols w:equalWidth="0" w:num="1">
            <w:col w:w="11340"/>
          </w:cols>
          <w:pgMar w:left="320" w:top="768" w:right="239" w:bottom="1440" w:gutter="0" w:footer="0" w:header="0"/>
        </w:sectPr>
      </w:pP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Interest income was $20.9 million for the year ended December 31, 2023, an increase of $12.0 million, compared to $8.9 million for the year ended December 31, 2022. The increase in interest income was primarily attributable to increased interest rates during the year ended December 31, 2023.</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6" w:lineRule="exact"/>
        <w:rPr>
          <w:sz w:val="20"/>
          <w:szCs w:val="20"/>
          <w:color w:val="auto"/>
        </w:rPr>
      </w:pPr>
    </w:p>
    <w:p>
      <w:pPr>
        <w:ind w:right="340" w:firstLine="749"/>
        <w:spacing w:after="0" w:line="265" w:lineRule="auto"/>
        <w:rPr>
          <w:sz w:val="20"/>
          <w:szCs w:val="20"/>
          <w:color w:val="auto"/>
        </w:rPr>
      </w:pPr>
      <w:r>
        <w:rPr>
          <w:rFonts w:ascii="Times New Roman" w:cs="Times New Roman" w:eastAsia="Times New Roman" w:hAnsi="Times New Roman"/>
          <w:sz w:val="18"/>
          <w:szCs w:val="18"/>
          <w:color w:val="auto"/>
        </w:rPr>
        <w:t>Interest expense was $29.6 million for the year ended December 31, 2023, a decrease of $3.0 million, compared to $32.6 million for the year ended December 31, 2022. The decrease is primarily due to the lower outstanding principal amount of our convertible notes during the year ended December 31, 2023.</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86"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Other expense was $0.7 million for the year ended December 31, 2023 as compared to other expense of $0.3 million for the year ended December 31, 2022. The increase was primarily due to foreign currency revaluation losses.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Income tax expense was $2.1 million for the year ended December 31, 2023 as compared to $0.7 million for the year ended December 31, 2022. The increase is primarily due to an expansion in state tax jurisdictions.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188" w:lineRule="exact"/>
        <w:rPr>
          <w:sz w:val="20"/>
          <w:szCs w:val="20"/>
          <w:color w:val="auto"/>
        </w:rPr>
      </w:pPr>
    </w:p>
    <w:p>
      <w:pPr>
        <w:ind w:right="100" w:firstLine="562"/>
        <w:spacing w:after="0" w:line="260"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2022 compared to the year ended December 31, 2021 has been omitted from this Annual Report on Form 10-K but may be found in “Item 7. Management’s Discussion and Analysis of Financial Condition and Results of Operations” in our Annual Report on Form 10-K for the year ended December 31, 2022, filed with the SEC on February 21, 2023, which discussion is incorporated herein by reference, and which is available free of charge on the SECs website at www.sec.gov.</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To date, we have financed our operations primarily through $1.9 billion in net proceeds from public offerings of our common stock and pre-funded warrants to purchase common stock, $535.8 million in net proceeds from offerings of Convertible Notes, a $250.0 million up-front payment and a $65.0 million development reimbursement payments from Sobi pursuant to the Sobi collaboration agreement, $112.6 million in proceeds from the private placement of shares of our convertible preferred stock prior to our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$425.4 million of aggregate principal amount of our Convertible Notes for shares of our common stock.</w:t>
      </w:r>
    </w:p>
    <w:p>
      <w:pPr>
        <w:spacing w:after="0" w:line="14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the Company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year ended December 31, 2023.</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w:t>
      </w:r>
    </w:p>
    <w:p>
      <w:pPr>
        <w:spacing w:after="0" w:line="14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On March 28, 2022, the Company issued and sold 8,563,830 shares of its common stock at a price per share to the public of $47.00 in a follow-on public offering including an additional 1,117,021 shares of its common stock that were sold at the follow-on</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public offering price of $47.00 per share pursuant to the underwriters’ agreement in full exercise of their option to purchase additional shares of common stock. The Company received net proceeds of approximately $380.1 million after deducting underwriting discounts and commissions of approximately $22.1 million and offering costs of $0.3 million for these transactions.</w:t>
      </w:r>
    </w:p>
    <w:p>
      <w:pPr>
        <w:spacing w:after="0" w:line="15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enter into agreements with the capped call counterparties to unwind a portion of the capped call transactions on February 27, 2024. The unwind agreements will apply to the portion of the capped call transactions in a notional amount corresponding to the $426.1 million principal amount of Convertible Notes that we held in treasury as of December 31, 2023 or have been previously converted. We expect that aggregate cash proceeds to us from the unwind transactions will be approximately $100 million. The unwind transactions will be settled based on the volume-weighted average price of our common stock over a 7-day averaging period beginning on and including February 27, 2024, and the amount of cash proceeds that we receive at the end of the averaging period may be higher or lower than the expected amount. In connection with the unwind, the counterparties may sell shares of our common stock in secondary market transactions, and/or unwind various derivative transactions with respect to our common stock.</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2023 and 2022:</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252"/>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23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4"/>
        </w:trPr>
        <w:tc>
          <w:tcPr>
            <w:tcW w:w="5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38"/>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(594,735 )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(513,745 )</w:t>
            </w:r>
          </w:p>
        </w:tc>
      </w:tr>
      <w:tr>
        <w:trPr>
          <w:trHeight w:val="23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59,893</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394,499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365,659</w:t>
            </w:r>
          </w:p>
        </w:tc>
        <w:tc>
          <w:tcPr>
            <w:tcW w:w="80" w:type="dxa"/>
            <w:vAlign w:val="bottom"/>
            <w:shd w:val="clear" w:color="auto" w:fill="CFF0FC"/>
          </w:tcPr>
          <w:p>
            <w:pPr>
              <w:spacing w:after="0"/>
              <w:rPr>
                <w:sz w:val="21"/>
                <w:szCs w:val="21"/>
                <w:color w:val="auto"/>
              </w:rPr>
            </w:pPr>
          </w:p>
        </w:tc>
      </w:tr>
      <w:tr>
        <w:trPr>
          <w:trHeight w:val="243"/>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0"/>
        </w:trPr>
        <w:tc>
          <w:tcPr>
            <w:tcW w:w="5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(200,775 )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(88,681 )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86" w:lineRule="exact"/>
        <w:rPr>
          <w:sz w:val="20"/>
          <w:szCs w:val="20"/>
          <w:color w:val="auto"/>
        </w:rPr>
      </w:pPr>
    </w:p>
    <w:p>
      <w:pPr>
        <w:ind w:right="40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$594.7 million for the year ended December 31, 2023 and consisted primarily of a net loss of $528.6 million adjusted for $134.1 million of non-cash items, including share-based compensation expense of $105.9 million, depreciation expense of $1.8 million, accretion of discount to the development liability of $26.0 million and accretion of discounts for convertible debt of $0.3 million. Further, it included a net increase in operating assets of $200.2 million, which was driven by increases in accounts receivable of $198.7 million, an increase in inventory of $60.6 million, and an increase in prepaid assets of $1.9 million, which was partially offset by an increase in accounts payable and accrued expenses of $35.1 million and a decrease in other assets of $25.9 million.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was $513.7 million for the year ended December 31, 2022 and consisted primarily of a net loss of $652.2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adjusted for $154.1 million of non-cash items, including share-based compensation expense of $91.1 million, a loss on early exchange of debt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$32.9 million, the forfeiture of accrued interest in the exchange of the Convertible Notes of $1.3 million, depreciation expense of $1.6 million,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discounts for convertible notes, net of financing costs of $0.3 million, and accretion of discount to the development liability of $26.9 million. Further,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 net decrease in operating assets of $28.1 million and an increase in accounts payable and accrued expenses of $12.3 million.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86"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$0.7 million due primarily to purchases of fixed assets and partially offset by proceeds from the sale of fixed assets.</w:t>
      </w:r>
    </w:p>
    <w:p>
      <w:pPr>
        <w:spacing w:after="0" w:line="122"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2022 was $59.9 million due primarily to $393.2 million in proceeds from maturities of marketable securities, partially offset by $331.9 million in purchases of marketable securities.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was $394.5 million during the year ended December 31, 2023 and consisted primarily of proceeds from the follow-on common stock and pre-funded warrant offering in March 2023 of $384.4 million, $71.3 million proceeds upon the exercise of stock options and $5.4 million proceeds from the issuance of our common stock under the employee stock purchase plan, partially offset by payments of $55.5 million for the development liability as well as the payments of employee tax withholding related to equity-based compensation of $11.0 million.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was $365.7 million during the year ended December 31, 2022 and consisted primarily of proceeds from the follow-on common stock offering in March 2022 of $380.1 million, $21.5 million of proceeds upon the exercise of stock options and $4.2 million proceeds from the issuance of common stock under the employee stock purchase plan, partially offset by payments of $34.5 million for the development liability as well as $5.7 million for the payments of employee tax withholdings related to equity-based compensation.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expect to continue incur expenses to support our ongoing commercial activities related to product manufacturing, marketing, sales and distribution of EMPAVELI for PNH and SYFOVRE for GA. In addition, we expect to continue to incur expenses as we prioritize the ongoing development of systemic pegcetacoplan and focus our research initiatives on high potential opportunities.</w:t>
      </w:r>
    </w:p>
    <w:p>
      <w:pPr>
        <w:spacing w:after="0" w:line="1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2023 and the cash that we anticipate generating from the unwind of the capped call transactions,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82"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sell EMPAVELI and SYFOVRE in the United States;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 and to build a commercial infrastructure for SYFOVRE for GA in the United States and worldwide;</w:t>
      </w:r>
    </w:p>
    <w:p>
      <w:pPr>
        <w:spacing w:after="0" w:line="54" w:lineRule="exact"/>
        <w:rPr>
          <w:rFonts w:ascii="Times New Roman" w:cs="Times New Roman" w:eastAsia="Times New Roman" w:hAnsi="Times New Roman"/>
          <w:sz w:val="18"/>
          <w:szCs w:val="18"/>
          <w:color w:val="auto"/>
        </w:rPr>
      </w:pPr>
    </w:p>
    <w:p>
      <w:pPr>
        <w:ind w:left="1020" w:right="400" w:hanging="504"/>
        <w:spacing w:after="0" w:line="265"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commercialization of EMPAVELI, systemic pegcetacoplan and SYFOVRE and any other products for which we receive marketing approval including product sales, medical affairs, marketing, manufacturing and distribution;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9"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left="1020" w:right="20" w:hanging="504"/>
        <w:spacing w:after="0" w:line="28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If our cash and cash equivalents, cash generated from the unwind of the capped call transactions,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182" w:lineRule="exact"/>
        <w:rPr>
          <w:sz w:val="20"/>
          <w:szCs w:val="20"/>
          <w:color w:val="auto"/>
        </w:rPr>
      </w:pPr>
    </w:p>
    <w:p>
      <w:pPr>
        <w:ind w:right="20" w:firstLine="554"/>
        <w:spacing w:after="0" w:line="265" w:lineRule="auto"/>
        <w:rPr>
          <w:sz w:val="20"/>
          <w:szCs w:val="20"/>
          <w:color w:val="auto"/>
        </w:rPr>
      </w:pPr>
      <w:r>
        <w:rPr>
          <w:rFonts w:ascii="Times New Roman" w:cs="Times New Roman" w:eastAsia="Times New Roman" w:hAnsi="Times New Roman"/>
          <w:sz w:val="18"/>
          <w:szCs w:val="18"/>
          <w:color w:val="auto"/>
        </w:rPr>
        <w:t>If we are unable to generate sufficient funds from unwinding the capped call transactions and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payment due date by period at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54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75"/>
              <w:spacing w:after="0" w:line="15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3"/>
                <w:szCs w:val="13"/>
                <w:color w:val="auto"/>
              </w:rPr>
            </w:pPr>
          </w:p>
        </w:tc>
      </w:tr>
      <w:tr>
        <w:trPr>
          <w:trHeight w:val="187"/>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SFJ agreement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98,750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(1)</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Non-cancellable purchase commitments (2)</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110,677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(3)</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6"/>
        </w:trPr>
        <w:tc>
          <w:tcPr>
            <w:tcW w:w="4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599,263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217,306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323,848</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6680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8020" cy="8255"/>
                    </a:xfrm>
                    <a:prstGeom prst="rect">
                      <a:avLst/>
                    </a:prstGeom>
                    <a:noFill/>
                  </pic:spPr>
                </pic:pic>
              </a:graphicData>
            </a:graphic>
          </wp:anchor>
        </w:drawing>
      </w:r>
    </w:p>
    <w:p>
      <w:pPr>
        <w:spacing w:after="0" w:line="177" w:lineRule="exact"/>
        <w:rPr>
          <w:sz w:val="20"/>
          <w:szCs w:val="20"/>
          <w:color w:val="auto"/>
        </w:rPr>
      </w:pPr>
    </w:p>
    <w:p>
      <w:pPr>
        <w:ind w:left="520" w:right="80" w:hanging="512"/>
        <w:spacing w:after="0" w:line="260"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interest on long-term debt obligations under the debt outstanding as of December 31, 2023, applying contractual fixed interest rate and assuming scheduled payments are paid as contractually required through maturity.</w:t>
      </w:r>
    </w:p>
    <w:p>
      <w:pPr>
        <w:spacing w:after="0" w:line="1" w:lineRule="exact"/>
        <w:rPr>
          <w:rFonts w:ascii="Times New Roman" w:cs="Times New Roman" w:eastAsia="Times New Roman" w:hAnsi="Times New Roman"/>
          <w:sz w:val="18"/>
          <w:szCs w:val="18"/>
          <w:color w:val="auto"/>
        </w:rPr>
      </w:pPr>
    </w:p>
    <w:p>
      <w:pPr>
        <w:ind w:left="520" w:right="840" w:hanging="512"/>
        <w:spacing w:after="0" w:line="250"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our obligations under supply agreements with Bachem and NOF as of December 31, 2023 and obligations under supply agreements with other vendors.</w:t>
      </w:r>
    </w:p>
    <w:p>
      <w:pPr>
        <w:ind w:left="520" w:right="400" w:hanging="512"/>
        <w:spacing w:after="0" w:line="260"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under our non-cancelable operating leases. The minimum lease payments above do not include any related common area maintenance charges or real estate taxes.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SFJ agreement, following regulatory approval by the FDA in May 2021 for the use of systemic pegcetacoplan as a treatment for PNH, we became obligated to pay SFJ an initial payment of $4.0 million and then an additional $226.0 million in the aggregate in six additional annual payments with the majority of the payments being made from the third anniversary to the sixth anniversary of regulatory approval. We paid SFJ the initial payment of $4.0 million in June 2021, its first annual payment of $11.5 million in May 2022 and the second annual payment of $24.5 million in May 2023. The subsequent annual payments remaining are due and payable in May of each year from 2024 through 2027.</w:t>
      </w:r>
    </w:p>
    <w:p>
      <w:pPr>
        <w:spacing w:after="0" w:line="1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Following regulatory approval of systemic pegcetacoplan by the EMA in December 2021, we became obligated to pay SFJ an initial payment of $5.0 million and then an additional $225.0 million in the aggregate in six additional annual payments with the majority of the payments being made from the third anniversary to the sixth anniversary of regulatory approval. We paid SFJ the initial payment of $5.0 million in January 2022 the first annual payment of $18.0 million in December 2022, and its second annual payment of $31.0 million in December 2023. The subsequent annual payments are due and payable in December of each year from 2024 through 2027.</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paid SFJ a total of $94.0 million as of December 31, 2023 and we are obligated to pay an aggregate of $366.0 million through 2027.</w:t>
      </w:r>
    </w:p>
    <w:p>
      <w:pPr>
        <w:spacing w:after="0" w:line="184"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We have entered into contracts to conduct research and development activities with third parties which commit us to pay future milestone payments or to pay royalty fees if any of the research results in regulatory approval or commercial revenue for a product. The scope of the services under the research and development contracts can be modified and the contracts cancelled by us upon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written notice. In some instances, the contracts may be cancelled by the third party upon written notice. If we were to cancel these contracts, we would be required only to pay for activities incurred through termination date.</w:t>
      </w:r>
    </w:p>
    <w:p>
      <w:pPr>
        <w:spacing w:after="0" w:line="13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with Penn for an exclusive, worldwide license to specified patent rights in the ophthalmic field of use. We are required to pay annual maintenance fees of $0.1 million until the first sale of a licensed product. We are also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we are obligated to pay a specified portion of income it receives from sublicensees.</w:t>
      </w:r>
    </w:p>
    <w:p>
      <w:pPr>
        <w:spacing w:after="0" w:line="145"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April 2023, we paid $2.3 million for the achievement of a regulatory milestone as a result of the FDA approval of SYFOVRE in February 2023. In 2023, we incurred $5.0 million as a result of the achievement of sales milestones for SYFOVRE of which $2.0 million was paid in October 2023 and the remainder of $3.0 million was accrued for as of December 31, 2023.</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have incurred an aggregate royalty expense of $8.9 million as a result of sales of SYFOVRE.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addition, we are also party to a license agreement with Penn for an exclusive, worldwide license to specified patent rights for the development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of products in nonophthalmic fields of use, as defined therein. We are required to pay annual maintenance fees of $0.1 million until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sale of a licensed product. We are required to make milestone payments aggregating up to $1.7 million, based upon the achievement of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regulatory approval milestones, and up to $2.5 million, based upon the achievement of annual sales milestones with respect to each of the first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products. The license agreement also requires us to pay low single digit royalties based on net sales of each licensed product, subject to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royalty thresholds. In addition, we are obligated to pay a specified portion of income we receive from sublicensees. In January 2021, we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for a sublicense fee owed to Penn related to the Sobi collaboration agreement and another licensing transaction. In August 2021, we paid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to Penn upon the achievement of a development milestone, net of a credit for the annual license maintenance payment. In June 2022, we paid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$5.0 million to Penn upon the achievement of a development milestone. In January 2023, we paid $1.0 million to Penn upon the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sales milestone for EMPAVELI in 2022. As of December 31, 2023, we recorded in accrued expenses $0.5 million for a sublicense fee owed to Penn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Sobi obtaining regulatory approval in Japan. Additionally, as of December 31, 2023, we recorded in accrued expenses $1.5 million as a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achievement of a sales milestone for EMPAVELI and Aspaveli.</w:t>
      </w:r>
    </w:p>
    <w:p>
      <w:pPr>
        <w:spacing w:after="0" w:line="166"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either the contracts are cancelable at any time by us, generally upon 30 days prior written notice to the CRO, or the noncancelable minimum purchase commitments under such contracts have already been satisfied.</w:t>
      </w:r>
    </w:p>
    <w:p>
      <w:pPr>
        <w:spacing w:after="0" w:line="14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certain non-cancelable purchase obligations related to the manufacturing of drug substance and drug product, with Bachem, agreeing to purchase a significant portion of our requirements for the pegcetacoplan drug substance over the next five years and a commercial supply agreement with NOF Corporation, or NOF, to purchase activated polyethylene glycol derivative, or PEG, which is a component of pegcetacoplan. Under these agreements, as of December 31, 2023 we are obligated to pay up to an aggregate of $94.6 million to these vendors. In addition, we have other non-cancelable purchase agreements as of December 31, 2023, under which we are obligated to pay up to an aggregate of $16.1 million to other vendors.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2023, we had cash and cash equivalents of $351.2 million, consisting primarily of money market funds and U.S. treasury securities.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4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106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TABLE OF CONTENTS FOR FINANCIAL STATEMENTS</w:t>
            </w:r>
          </w:p>
        </w:tc>
        <w:tc>
          <w:tcPr>
            <w:tcW w:w="54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4240" w:type="dxa"/>
            <w:vAlign w:val="bottom"/>
            <w:tcBorders>
              <w:right w:val="single" w:sz="8" w:color="0000EE"/>
            </w:tcBorders>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years ended December 31, 2023 and 2022 and for each of the three years in the period ended</w:t>
            </w:r>
          </w:p>
        </w:tc>
        <w:tc>
          <w:tcPr>
            <w:tcW w:w="54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40" w:type="dxa"/>
            <w:vAlign w:val="bottom"/>
          </w:tcPr>
          <w:p>
            <w:pPr>
              <w:spacing w:after="0"/>
              <w:rPr>
                <w:sz w:val="20"/>
                <w:szCs w:val="20"/>
                <w:color w:val="auto"/>
              </w:rPr>
            </w:pPr>
          </w:p>
        </w:tc>
      </w:tr>
      <w:tr>
        <w:trPr>
          <w:trHeight w:val="337"/>
        </w:trPr>
        <w:tc>
          <w:tcPr>
            <w:tcW w:w="10700" w:type="dxa"/>
            <w:vAlign w:val="bottom"/>
            <w:gridSpan w:val="3"/>
          </w:tcPr>
          <w:p>
            <w:pPr>
              <w:jc w:val="right"/>
              <w:ind w:right="4940"/>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w:t>
            </w:r>
            <w:r>
              <w:rPr>
                <w:rFonts w:ascii="Times New Roman" w:cs="Times New Roman" w:eastAsia="Times New Roman" w:hAnsi="Times New Roman"/>
                <w:sz w:val="18"/>
                <w:szCs w:val="18"/>
                <w:color w:val="000000"/>
              </w:rPr>
              <w:t>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2022 and 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20" w:type="dxa"/>
            <w:vAlign w:val="bottom"/>
          </w:tcPr>
          <w:p>
            <w:pPr>
              <w:spacing w:after="0"/>
              <w:rPr>
                <w:sz w:val="19"/>
                <w:szCs w:val="19"/>
                <w:color w:val="auto"/>
              </w:rPr>
            </w:pPr>
          </w:p>
        </w:tc>
        <w:tc>
          <w:tcPr>
            <w:tcW w:w="8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period from January 1, 2021 to December 31, 2023</w:t>
            </w:r>
          </w:p>
        </w:tc>
        <w:tc>
          <w:tcPr>
            <w:tcW w:w="1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20" w:type="dxa"/>
            <w:vAlign w:val="bottom"/>
          </w:tcPr>
          <w:p>
            <w:pPr>
              <w:spacing w:after="0"/>
              <w:rPr>
                <w:sz w:val="19"/>
                <w:szCs w:val="19"/>
                <w:color w:val="auto"/>
              </w:rPr>
            </w:pPr>
          </w:p>
        </w:tc>
        <w:tc>
          <w:tcPr>
            <w:tcW w:w="6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1740" w:type="dxa"/>
            <w:vAlign w:val="bottom"/>
            <w:tcBorders>
              <w:top w:val="single" w:sz="8" w:color="0000FF"/>
            </w:tcBorders>
          </w:tcPr>
          <w:p>
            <w:pPr>
              <w:spacing w:after="0"/>
              <w:rPr>
                <w:sz w:val="19"/>
                <w:szCs w:val="19"/>
                <w:color w:val="auto"/>
              </w:rPr>
            </w:pPr>
          </w:p>
        </w:tc>
        <w:tc>
          <w:tcPr>
            <w:tcW w:w="1180" w:type="dxa"/>
            <w:vAlign w:val="bottom"/>
            <w:gridSpan w:val="2"/>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20" w:type="dxa"/>
            <w:vAlign w:val="bottom"/>
          </w:tcPr>
          <w:p>
            <w:pPr>
              <w:spacing w:after="0"/>
              <w:rPr>
                <w:sz w:val="19"/>
                <w:szCs w:val="19"/>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58"/>
        </w:trPr>
        <w:tc>
          <w:tcPr>
            <w:tcW w:w="2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37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120</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Apellis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Apellis Pharmaceuticals, Inc. and subsidiaries (the “Company”) as of December 31, 2023 and 2022, the related consolidated statements of operations and comprehensive loss, changes in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issued by the Committee of Sponsoring Organizations of the Treadway Commission and our report dated February 27, 2024, expressed an unqualified opinion on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New Customer Contracts Under ASC 606 — Refer to Notes 2 and 3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 incurs certain research and development expenses from third-party service providers, including contract research organizations ("CROs"). This process involves reviewing quotations and contracts, identifying services that have been performed on its behalf and estimating the level of service performed and the associated cost incurred for the service when the Company has not yet been invoiced or otherwise notified of the actual cost. The Company bases its expenses related to CROs on its estimates of the services received and efforts expended pursuant to quotes and contracts with CROs. The financial terms of these agreements are subject to negotiation, vary from contract to contract and may result in uneven payment flows. There may be instances in which payments made to the Company’s CROs will exceed the level of services provided and result in a prepayment of the research and development expense.</w:t>
      </w:r>
    </w:p>
    <w:p>
      <w:pPr>
        <w:spacing w:after="0" w:line="18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identified the valuation of accrued and prepaid research and development expenses as a critical audit matter due to the judgments necessary for management to estimate the level of services provided and the costs incurred for the service, when the Company has not yet been invoiced of actual costs. This required a high degree of auditor judgment and an increased extent of effort when performing audit procedures to audit management's estimates of such expenses.</w:t>
      </w:r>
    </w:p>
    <w:p>
      <w:pPr>
        <w:sectPr>
          <w:pgSz w:w="11900" w:h="16838" w:orient="portrait"/>
          <w:cols w:equalWidth="0" w:num="1">
            <w:col w:w="11220"/>
          </w:cols>
          <w:pgMar w:left="320" w:top="768" w:right="35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accrued and prepaid research and development expenses included the following, among others:</w:t>
      </w:r>
    </w:p>
    <w:p>
      <w:pPr>
        <w:spacing w:after="0" w:line="117" w:lineRule="exact"/>
        <w:rPr>
          <w:sz w:val="20"/>
          <w:szCs w:val="20"/>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controls over the estimation of accrued and prepaid research and development expenses.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projects, we read the related contracts, purchase orders, statements of work and other contractual documentation. We tested the completeness and accuracy of the information used to develop the estimates and evaluated the significant assumptions used by management to estimate the recorded amounts by performing the following:</w:t>
      </w:r>
    </w:p>
    <w:p>
      <w:pPr>
        <w:spacing w:after="0" w:line="69" w:lineRule="exact"/>
        <w:rPr>
          <w:rFonts w:ascii="Times New Roman" w:cs="Times New Roman" w:eastAsia="Times New Roman" w:hAnsi="Times New Roman"/>
          <w:sz w:val="18"/>
          <w:szCs w:val="18"/>
          <w:color w:val="auto"/>
        </w:rPr>
      </w:pPr>
    </w:p>
    <w:p>
      <w:pPr>
        <w:ind w:left="154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oPerformed corroborating inquiries with the Company’s research and development personnel to understand the nature and progress of the studies.</w:t>
      </w:r>
    </w:p>
    <w:p>
      <w:pPr>
        <w:spacing w:after="0" w:line="54"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Inspected information from third-party service providers.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Obtained corresponding invoices and evidence of payment to third-party service providers.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Evaluated management’s judgments using the evidence obtained.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8"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551,801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36,658</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766,331</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719,523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760,217</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development liability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29,504</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right-of-use liabilities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development liability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315,647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594,209</w:t>
            </w:r>
          </w:p>
        </w:tc>
        <w:tc>
          <w:tcPr>
            <w:tcW w:w="28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590,345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zero shares issued and outstanding at December 31, 2023 and 2022</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 shares authorized at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2023 and 2022; 119,556 and 110,772 shares issued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outstanding at December 31, 2023 and 2022,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2,479,596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(3,542 )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(2,837,488 )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(2,308,860 )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169,872</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-3877945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-3877945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B.00APELLIS PHARMACEUTICALS, INC. CONSOLIDATED STATEMENTS OF OPERATIONS AND COMPREHENSIVE LOSS (Amounts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387,236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research collaboration</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expense</w:t>
            </w:r>
          </w:p>
        </w:tc>
        <w:tc>
          <w:tcPr>
            <w:tcW w:w="3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500,815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277,163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670,035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(517,121 )</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(594,613 )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(536,277 )</w:t>
            </w: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conversion of debt</w:t>
            </w:r>
          </w:p>
        </w:tc>
        <w:tc>
          <w:tcPr>
            <w:tcW w:w="3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(32,890 )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(100,589 )</w:t>
            </w: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remeasurement of development derivative liability</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(97,675 )</w:t>
            </w: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(29,581 )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(32,626 )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(13,241 )</w:t>
            </w:r>
          </w:p>
        </w:tc>
        <w:tc>
          <w:tcPr>
            <w:tcW w:w="0" w:type="dxa"/>
            <w:vAlign w:val="bottom"/>
          </w:tcPr>
          <w:p>
            <w:pPr>
              <w:spacing w:after="0"/>
              <w:rPr>
                <w:sz w:val="1"/>
                <w:szCs w:val="1"/>
                <w:color w:val="auto"/>
              </w:rPr>
            </w:pP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(526,496 )</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(651,503 )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(746,002 )</w:t>
            </w:r>
          </w:p>
        </w:tc>
        <w:tc>
          <w:tcPr>
            <w:tcW w:w="0" w:type="dxa"/>
            <w:vAlign w:val="bottom"/>
          </w:tcPr>
          <w:p>
            <w:pPr>
              <w:spacing w:after="0"/>
              <w:rPr>
                <w:sz w:val="1"/>
                <w:szCs w:val="1"/>
                <w:color w:val="auto"/>
              </w:rPr>
            </w:pP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(528,628 )</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(652,172 )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(746,354 )</w:t>
            </w:r>
          </w:p>
        </w:tc>
        <w:tc>
          <w:tcPr>
            <w:tcW w:w="0" w:type="dxa"/>
            <w:vAlign w:val="bottom"/>
          </w:tcPr>
          <w:p>
            <w:pPr>
              <w:spacing w:after="0"/>
              <w:rPr>
                <w:sz w:val="1"/>
                <w:szCs w:val="1"/>
                <w:color w:val="auto"/>
              </w:rPr>
            </w:pPr>
          </w:p>
        </w:tc>
      </w:tr>
      <w:tr>
        <w:trPr>
          <w:trHeight w:val="232"/>
        </w:trPr>
        <w:tc>
          <w:tcPr>
            <w:tcW w:w="6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(loss)/gain on marketable securities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(loss)/gain on pension plans</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(2,618 )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(loss)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(1,982 )</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(2,667 )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(531,295 )</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(650,957 )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(748,327 )</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(4.45 )</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(8.84 )</w:t>
            </w:r>
          </w:p>
        </w:tc>
        <w:tc>
          <w:tcPr>
            <w:tcW w:w="0" w:type="dxa"/>
            <w:vAlign w:val="bottom"/>
          </w:tcPr>
          <w:p>
            <w:pPr>
              <w:spacing w:after="0"/>
              <w:rPr>
                <w:sz w:val="1"/>
                <w:szCs w:val="1"/>
                <w:color w:val="auto"/>
              </w:rPr>
            </w:pPr>
          </w:p>
        </w:tc>
      </w:tr>
      <w:tr>
        <w:trPr>
          <w:trHeight w:val="204"/>
        </w:trPr>
        <w:tc>
          <w:tcPr>
            <w:tcW w:w="65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-2987675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-2987675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-2987675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-1412240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-1412240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-787400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-787400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-461645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-461645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0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76,130</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1,131,013</w:t>
            </w:r>
          </w:p>
        </w:tc>
        <w:tc>
          <w:tcPr>
            <w:tcW w:w="2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(117 )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(926,347 )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204,557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Adoption of ASU 2020-06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(165,747 )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16,013</w:t>
            </w:r>
          </w:p>
        </w:tc>
        <w:tc>
          <w:tcPr>
            <w:tcW w:w="2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(149,734 )</w:t>
            </w:r>
          </w:p>
        </w:tc>
        <w:tc>
          <w:tcPr>
            <w:tcW w:w="0" w:type="dxa"/>
            <w:vAlign w:val="bottom"/>
          </w:tcPr>
          <w:p>
            <w:pPr>
              <w:spacing w:after="0"/>
              <w:rPr>
                <w:sz w:val="1"/>
                <w:szCs w:val="1"/>
                <w:color w:val="auto"/>
              </w:rPr>
            </w:pPr>
          </w:p>
        </w:tc>
      </w:tr>
      <w:tr>
        <w:trPr>
          <w:trHeight w:val="139"/>
        </w:trPr>
        <w:tc>
          <w:tcPr>
            <w:tcW w:w="402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in follow-on offering, net of offering</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10,063</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380,361</w:t>
            </w:r>
          </w:p>
        </w:tc>
        <w:tc>
          <w:tcPr>
            <w:tcW w:w="20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380,362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w:t>
            </w: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14,691</w:t>
            </w: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2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shares in exchange of 2019 and 2020 Convertible</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10,065</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421,092</w:t>
            </w:r>
          </w:p>
        </w:tc>
        <w:tc>
          <w:tcPr>
            <w:tcW w:w="20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421,093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Notes, including issuance cost</w:t>
            </w: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Forfeiture of accrued interest in exchange of 2019 and 2020</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20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Notes</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(1,788 )</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(1,788 )</w:t>
            </w: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70,667</w:t>
            </w: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 on available-for-sale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(746,354 )</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(746,354 )</w:t>
            </w: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(1,982 )</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(1,982 )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97,524</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1,857,430</w:t>
            </w:r>
          </w:p>
        </w:tc>
        <w:tc>
          <w:tcPr>
            <w:tcW w:w="2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(2,090 )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(1,656,688 )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198,662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in follow-on offering, net of offering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8,564</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380,119</w:t>
            </w:r>
          </w:p>
        </w:tc>
        <w:tc>
          <w:tcPr>
            <w:tcW w:w="20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2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shares in exchange of Convertible Notes, including</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129,636</w:t>
            </w:r>
          </w:p>
        </w:tc>
        <w:tc>
          <w:tcPr>
            <w:tcW w:w="20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costs</w:t>
            </w: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Forfeiture of accrued interest in exchange of Convertible Notes</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21,483</w:t>
            </w:r>
          </w:p>
        </w:tc>
        <w:tc>
          <w:tcPr>
            <w:tcW w:w="2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(5,682 )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(5,682 )</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91,085</w:t>
            </w:r>
          </w:p>
        </w:tc>
        <w:tc>
          <w:tcPr>
            <w:tcW w:w="2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 on pension benefit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(652,172 )</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(652,172 )</w:t>
            </w: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(430 )</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(430 )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110,772</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2,479,596</w:t>
            </w:r>
          </w:p>
        </w:tc>
        <w:tc>
          <w:tcPr>
            <w:tcW w:w="2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(875 )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(2,308,860 )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169,872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and pre-funded warrants in common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384,386</w:t>
            </w:r>
          </w:p>
        </w:tc>
        <w:tc>
          <w:tcPr>
            <w:tcW w:w="20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offering</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71,274</w:t>
            </w:r>
          </w:p>
        </w:tc>
        <w:tc>
          <w:tcPr>
            <w:tcW w:w="2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(11,040 )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(11,040 )</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105,945</w:t>
            </w:r>
          </w:p>
        </w:tc>
        <w:tc>
          <w:tcPr>
            <w:tcW w:w="2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to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Unrealized loss on pension benefit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(2,618 )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(2,618 )</w:t>
            </w:r>
          </w:p>
        </w:tc>
        <w:tc>
          <w:tcPr>
            <w:tcW w:w="0" w:type="dxa"/>
            <w:vAlign w:val="bottom"/>
          </w:tcPr>
          <w:p>
            <w:pPr>
              <w:spacing w:after="0"/>
              <w:rPr>
                <w:sz w:val="1"/>
                <w:szCs w:val="1"/>
                <w:color w:val="auto"/>
              </w:rPr>
            </w:pPr>
          </w:p>
        </w:tc>
      </w:tr>
      <w:tr>
        <w:trPr>
          <w:trHeight w:val="17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(528,628 )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(528,628 )</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(49 )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119,556</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4"/>
                <w:szCs w:val="14"/>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3,035,539</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(3,542 )</w:t>
            </w:r>
          </w:p>
        </w:tc>
        <w:tc>
          <w:tcPr>
            <w:tcW w:w="12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(2,837,488 )</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194,521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-144780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-144780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-144780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-144780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-144780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5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(528,628 )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(652,172 )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(746,354 )</w:t>
            </w:r>
          </w:p>
        </w:tc>
      </w:tr>
      <w:tr>
        <w:trPr>
          <w:trHeight w:val="239"/>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91,085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70,667</w:t>
            </w:r>
          </w:p>
        </w:tc>
        <w:tc>
          <w:tcPr>
            <w:tcW w:w="100" w:type="dxa"/>
            <w:vAlign w:val="bottom"/>
          </w:tcPr>
          <w:p>
            <w:pPr>
              <w:spacing w:after="0"/>
              <w:rPr>
                <w:sz w:val="19"/>
                <w:szCs w:val="19"/>
                <w:color w:val="auto"/>
              </w:rPr>
            </w:pPr>
          </w:p>
        </w:tc>
      </w:tr>
      <w:tr>
        <w:trPr>
          <w:trHeight w:val="239"/>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conversion of debt</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32,890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100,589</w:t>
            </w:r>
          </w:p>
        </w:tc>
        <w:tc>
          <w:tcPr>
            <w:tcW w:w="100" w:type="dxa"/>
            <w:vAlign w:val="bottom"/>
            <w:shd w:val="clear" w:color="auto" w:fill="CFF0FC"/>
          </w:tcPr>
          <w:p>
            <w:pPr>
              <w:spacing w:after="0"/>
              <w:rPr>
                <w:sz w:val="20"/>
                <w:szCs w:val="20"/>
                <w:color w:val="auto"/>
              </w:rPr>
            </w:pPr>
          </w:p>
        </w:tc>
      </w:tr>
      <w:tr>
        <w:trPr>
          <w:trHeight w:val="220"/>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remeasurement of development derivative liability</w:t>
            </w:r>
          </w:p>
        </w:tc>
        <w:tc>
          <w:tcPr>
            <w:tcW w:w="2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97,675</w:t>
            </w:r>
          </w:p>
        </w:tc>
        <w:tc>
          <w:tcPr>
            <w:tcW w:w="100" w:type="dxa"/>
            <w:vAlign w:val="bottom"/>
          </w:tcPr>
          <w:p>
            <w:pPr>
              <w:spacing w:after="0"/>
              <w:rPr>
                <w:sz w:val="19"/>
                <w:szCs w:val="19"/>
                <w:color w:val="auto"/>
              </w:rPr>
            </w:pPr>
          </w:p>
        </w:tc>
      </w:tr>
      <w:tr>
        <w:trPr>
          <w:trHeight w:val="239"/>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Forfeiture of accrued interest in exchange of convertible notes</w:t>
            </w:r>
          </w:p>
        </w:tc>
        <w:tc>
          <w:tcPr>
            <w:tcW w:w="2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Pr>
          <w:p>
            <w:pPr>
              <w:spacing w:after="0"/>
              <w:rPr>
                <w:sz w:val="19"/>
                <w:szCs w:val="19"/>
                <w:color w:val="auto"/>
              </w:rPr>
            </w:pPr>
          </w:p>
        </w:tc>
      </w:tr>
      <w:tr>
        <w:trPr>
          <w:trHeight w:val="239"/>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shd w:val="clear" w:color="auto" w:fill="CFF0FC"/>
          </w:tcPr>
          <w:p>
            <w:pPr>
              <w:spacing w:after="0"/>
              <w:rPr>
                <w:sz w:val="20"/>
                <w:szCs w:val="20"/>
                <w:color w:val="auto"/>
              </w:rPr>
            </w:pPr>
          </w:p>
        </w:tc>
      </w:tr>
      <w:tr>
        <w:trPr>
          <w:trHeight w:val="220"/>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right of use assets</w:t>
            </w:r>
          </w:p>
        </w:tc>
        <w:tc>
          <w:tcPr>
            <w:tcW w:w="280" w:type="dxa"/>
            <w:vAlign w:val="bottom"/>
          </w:tcPr>
          <w:p>
            <w:pPr>
              <w:spacing w:after="0"/>
              <w:rPr>
                <w:sz w:val="19"/>
                <w:szCs w:val="19"/>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(80 )</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r>
      <w:tr>
        <w:trPr>
          <w:trHeight w:val="239"/>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discounts for convertible notes, net of financing costs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shd w:val="clear" w:color="auto" w:fill="CFF0FC"/>
          </w:tcPr>
          <w:p>
            <w:pPr>
              <w:spacing w:after="0"/>
              <w:rPr>
                <w:sz w:val="20"/>
                <w:szCs w:val="20"/>
                <w:color w:val="auto"/>
              </w:rPr>
            </w:pPr>
          </w:p>
        </w:tc>
      </w:tr>
      <w:tr>
        <w:trPr>
          <w:trHeight w:val="220"/>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to development liability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Pr>
          <w:p>
            <w:pPr>
              <w:spacing w:after="0"/>
              <w:rPr>
                <w:sz w:val="19"/>
                <w:szCs w:val="19"/>
                <w:color w:val="auto"/>
              </w:rPr>
            </w:pPr>
          </w:p>
        </w:tc>
      </w:tr>
      <w:tr>
        <w:trPr>
          <w:trHeight w:val="239"/>
        </w:trPr>
        <w:tc>
          <w:tcPr>
            <w:tcW w:w="5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9"/>
                <w:szCs w:val="19"/>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(198,715 )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(10,103 )</w:t>
            </w:r>
          </w:p>
        </w:tc>
      </w:tr>
      <w:tr>
        <w:trPr>
          <w:trHeight w:val="239"/>
        </w:trPr>
        <w:tc>
          <w:tcPr>
            <w:tcW w:w="5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(60,647 )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(69,397 )</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(16,317 )</w:t>
            </w:r>
          </w:p>
        </w:tc>
      </w:tr>
      <w:tr>
        <w:trPr>
          <w:trHeight w:val="220"/>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assets</w:t>
            </w:r>
          </w:p>
        </w:tc>
        <w:tc>
          <w:tcPr>
            <w:tcW w:w="280" w:type="dxa"/>
            <w:vAlign w:val="bottom"/>
          </w:tcPr>
          <w:p>
            <w:pPr>
              <w:spacing w:after="0"/>
              <w:rPr>
                <w:sz w:val="19"/>
                <w:szCs w:val="19"/>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(1,870 )</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(11,479 )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(13,487 )</w:t>
            </w:r>
          </w:p>
        </w:tc>
      </w:tr>
      <w:tr>
        <w:trPr>
          <w:trHeight w:val="239"/>
        </w:trPr>
        <w:tc>
          <w:tcPr>
            <w:tcW w:w="5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32,936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(40,928 )</w:t>
            </w:r>
          </w:p>
        </w:tc>
      </w:tr>
      <w:tr>
        <w:trPr>
          <w:trHeight w:val="220"/>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(12,782 )</w:t>
            </w:r>
          </w:p>
        </w:tc>
      </w:tr>
      <w:tr>
        <w:trPr>
          <w:trHeight w:val="239"/>
        </w:trPr>
        <w:tc>
          <w:tcPr>
            <w:tcW w:w="5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18,689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10,487</w:t>
            </w:r>
          </w:p>
        </w:tc>
        <w:tc>
          <w:tcPr>
            <w:tcW w:w="100" w:type="dxa"/>
            <w:vAlign w:val="bottom"/>
            <w:shd w:val="clear" w:color="auto" w:fill="CFF0FC"/>
          </w:tcPr>
          <w:p>
            <w:pPr>
              <w:spacing w:after="0"/>
              <w:rPr>
                <w:sz w:val="20"/>
                <w:szCs w:val="20"/>
                <w:color w:val="auto"/>
              </w:rPr>
            </w:pPr>
          </w:p>
        </w:tc>
      </w:tr>
      <w:tr>
        <w:trPr>
          <w:trHeight w:val="226"/>
        </w:trPr>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(6,312 )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(10,392 )</w:t>
            </w:r>
          </w:p>
        </w:tc>
      </w:tr>
      <w:tr>
        <w:trPr>
          <w:trHeight w:val="20"/>
        </w:trPr>
        <w:tc>
          <w:tcPr>
            <w:tcW w:w="5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(594,735 )</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(513,745 )</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(563,126 )</w:t>
            </w:r>
          </w:p>
        </w:tc>
      </w:tr>
      <w:tr>
        <w:trPr>
          <w:trHeight w:val="217"/>
        </w:trPr>
        <w:tc>
          <w:tcPr>
            <w:tcW w:w="5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(773 )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(1,524 )</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(1,103 )</w:t>
            </w: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 of available-for-sale securities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(331,863 )</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(171,281 )</w:t>
            </w:r>
          </w:p>
        </w:tc>
      </w:tr>
      <w:tr>
        <w:trPr>
          <w:trHeight w:val="226"/>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maturity of available-for-sale securities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393,280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420,000</w:t>
            </w:r>
          </w:p>
        </w:tc>
        <w:tc>
          <w:tcPr>
            <w:tcW w:w="100" w:type="dxa"/>
            <w:vAlign w:val="bottom"/>
          </w:tcPr>
          <w:p>
            <w:pPr>
              <w:spacing w:after="0"/>
              <w:rPr>
                <w:sz w:val="19"/>
                <w:szCs w:val="19"/>
                <w:color w:val="auto"/>
              </w:rPr>
            </w:pPr>
          </w:p>
        </w:tc>
      </w:tr>
      <w:tr>
        <w:trPr>
          <w:trHeight w:val="223"/>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(674 )</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247,616</w:t>
            </w:r>
          </w:p>
        </w:tc>
        <w:tc>
          <w:tcPr>
            <w:tcW w:w="100" w:type="dxa"/>
            <w:vAlign w:val="bottom"/>
            <w:shd w:val="clear" w:color="auto" w:fill="CFF0FC"/>
          </w:tcPr>
          <w:p>
            <w:pPr>
              <w:spacing w:after="0"/>
              <w:rPr>
                <w:sz w:val="19"/>
                <w:szCs w:val="19"/>
                <w:color w:val="auto"/>
              </w:rPr>
            </w:pPr>
          </w:p>
        </w:tc>
      </w:tr>
      <w:tr>
        <w:trPr>
          <w:trHeight w:val="217"/>
        </w:trPr>
        <w:tc>
          <w:tcPr>
            <w:tcW w:w="5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380,120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380,363</w:t>
            </w:r>
          </w:p>
        </w:tc>
        <w:tc>
          <w:tcPr>
            <w:tcW w:w="100" w:type="dxa"/>
            <w:vAlign w:val="bottom"/>
            <w:shd w:val="clear" w:color="auto" w:fill="CFF0FC"/>
          </w:tcPr>
          <w:p>
            <w:pPr>
              <w:spacing w:after="0"/>
              <w:rPr>
                <w:sz w:val="20"/>
                <w:szCs w:val="20"/>
                <w:color w:val="auto"/>
              </w:rPr>
            </w:pPr>
          </w:p>
        </w:tc>
      </w:tr>
      <w:tr>
        <w:trPr>
          <w:trHeight w:val="202"/>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pre-funded warrant offering,</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issuance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Payments for development derivative liability</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(4,000 )</w:t>
            </w: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development liability</w:t>
            </w:r>
          </w:p>
        </w:tc>
        <w:tc>
          <w:tcPr>
            <w:tcW w:w="280" w:type="dxa"/>
            <w:vAlign w:val="bottom"/>
          </w:tcPr>
          <w:p>
            <w:pPr>
              <w:spacing w:after="0"/>
              <w:rPr>
                <w:sz w:val="19"/>
                <w:szCs w:val="19"/>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(55,500 )</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(34,500 )</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71,274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21,483</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00" w:type="dxa"/>
            <w:vAlign w:val="bottom"/>
            <w:shd w:val="clear" w:color="auto" w:fill="CFF0FC"/>
          </w:tcPr>
          <w:p>
            <w:pPr>
              <w:spacing w:after="0"/>
              <w:rPr>
                <w:sz w:val="20"/>
                <w:szCs w:val="20"/>
                <w:color w:val="auto"/>
              </w:rPr>
            </w:pPr>
          </w:p>
        </w:tc>
      </w:tr>
      <w:tr>
        <w:trPr>
          <w:trHeight w:val="22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share purchase plan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00" w:type="dxa"/>
            <w:vAlign w:val="bottom"/>
          </w:tcPr>
          <w:p>
            <w:pPr>
              <w:spacing w:after="0"/>
              <w:rPr>
                <w:sz w:val="19"/>
                <w:szCs w:val="19"/>
                <w:color w:val="auto"/>
              </w:rPr>
            </w:pPr>
          </w:p>
        </w:tc>
      </w:tr>
      <w:tr>
        <w:trPr>
          <w:trHeight w:val="236"/>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Payments of employee tax withholding related to equity-based compensation</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(11,040 )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(5,682 )</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(1,788 )</w:t>
            </w:r>
          </w:p>
        </w:tc>
      </w:tr>
      <w:tr>
        <w:trPr>
          <w:trHeight w:val="223"/>
        </w:trPr>
        <w:tc>
          <w:tcPr>
            <w:tcW w:w="59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394,499</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365,659</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392,236</w:t>
            </w:r>
          </w:p>
        </w:tc>
        <w:tc>
          <w:tcPr>
            <w:tcW w:w="100" w:type="dxa"/>
            <w:vAlign w:val="bottom"/>
            <w:tcBorders>
              <w:top w:val="single" w:sz="8" w:color="CFF0FC"/>
            </w:tcBorders>
          </w:tcPr>
          <w:p>
            <w:pPr>
              <w:spacing w:after="0"/>
              <w:rPr>
                <w:sz w:val="19"/>
                <w:szCs w:val="19"/>
                <w:color w:val="auto"/>
              </w:rPr>
            </w:pPr>
          </w:p>
        </w:tc>
      </w:tr>
      <w:tr>
        <w:trPr>
          <w:trHeight w:val="22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(488 )</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(2,016 )</w:t>
            </w: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80" w:type="dxa"/>
            <w:vAlign w:val="bottom"/>
          </w:tcPr>
          <w:p>
            <w:pPr>
              <w:spacing w:after="0"/>
              <w:rPr>
                <w:sz w:val="19"/>
                <w:szCs w:val="19"/>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(200,775 )</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(88,681 )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74,710</w:t>
            </w:r>
          </w:p>
        </w:tc>
        <w:tc>
          <w:tcPr>
            <w:tcW w:w="100" w:type="dxa"/>
            <w:vAlign w:val="bottom"/>
          </w:tcPr>
          <w:p>
            <w:pPr>
              <w:spacing w:after="0"/>
              <w:rPr>
                <w:sz w:val="19"/>
                <w:szCs w:val="19"/>
                <w:color w:val="auto"/>
              </w:rPr>
            </w:pPr>
          </w:p>
        </w:tc>
      </w:tr>
      <w:tr>
        <w:trPr>
          <w:trHeight w:val="23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553,074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641,755</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567,045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352,299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553,074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641,755</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-2970530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-2970530</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-2970530</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-2080260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-2080260</wp:posOffset>
            </wp:positionV>
            <wp:extent cx="596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-2080260</wp:posOffset>
            </wp:positionV>
            <wp:extent cx="59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-778510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-778510</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-778510</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-179070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-179070</wp:posOffset>
            </wp:positionV>
            <wp:extent cx="596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-179070</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8" w:right="8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0"/>
        </w:trPr>
        <w:tc>
          <w:tcPr>
            <w:tcW w:w="664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52"/>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551,801</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640,192</w:t>
            </w:r>
          </w:p>
        </w:tc>
      </w:tr>
      <w:tr>
        <w:trPr>
          <w:trHeight w:val="24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1,563</w:t>
            </w:r>
          </w:p>
        </w:tc>
      </w:tr>
      <w:tr>
        <w:trPr>
          <w:trHeight w:val="23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352,299</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553,074</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641,755</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5,003</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10,265</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4,915</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income tax refunds net of 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Notes exchanged for common stock</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98,086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328,017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-958215</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-958215</wp:posOffset>
            </wp:positionV>
            <wp:extent cx="857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37"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36"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Company’s operations since inception have been limited to organizing and staffing the Company, acquiring rights to product candidates, business planning, raising capital, developing its product candidates, commercializing EMPAVELI (pegcetacoplan) for the treatment of paroxysmal nocturnal hemoglobinuria (“PNH”) and commercializing SYFOVRE (pegcetacoplan injection) for the treatment of geographic atrophy secondary to age-related macular degeneration (“GA”).</w:t>
      </w:r>
    </w:p>
    <w:p>
      <w:pPr>
        <w:spacing w:after="0" w:line="141" w:lineRule="exact"/>
        <w:rPr>
          <w:sz w:val="20"/>
          <w:szCs w:val="20"/>
          <w:color w:val="auto"/>
        </w:rPr>
      </w:pPr>
    </w:p>
    <w:p>
      <w:pPr>
        <w:jc w:val="both"/>
        <w:ind w:right="180" w:firstLine="509"/>
        <w:spacing w:after="0" w:line="260"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20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22, 2023, the Company issued and sold 4,007,936 shares of common stock and, in lieu of common stock to investor who so chose, pre-funded warrants to purchase 2,380,956 shares of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The Company received total net proceeds of $384.4 million, after deducting underwriting discounts and commissions of $18.8 million and offering costs of $0.3 million.</w:t>
      </w:r>
    </w:p>
    <w:p>
      <w:pPr>
        <w:spacing w:after="0" w:line="14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March 28, 2022, the Company issued and sold 8,563,830 shares of its common stock at a price per share to the public of $47.00 in a follow-on public offering including an additional 1,117,021 shares of its common stock that were sold at the follow-on public offering price of $47.00 per share pursuant to the underwriters’ agreement in full exercise of their option to purchase additional shares of common stock. The Company received net proceeds of approximately $380.1 million after deducting underwriting discounts and commissions of approximately $22.1 million and offering costs of $0.3 million for these transactions.</w:t>
      </w:r>
    </w:p>
    <w:p>
      <w:pPr>
        <w:spacing w:after="0" w:line="14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November 18, 2021, the Company issued and sold 10,062,500 shares of its common stock at a price per share to the public of $40.00 in a follow-on public offering including an additional 1,312,500 shares of its common stock that were sold at the follow-on public offering price of $40.00 per share pursuant to the underwriters’ agreement in full exercise of their option to purchase additional shares of common stock. The Company received net proceeds of approximately $380.4 million after deducting underwriting discounts and commissions of approximately $22.1 million and offering costs of $0.6 million for these transactions.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From inception to December 31, 2023, the Company has incurred cash outflows from operations, losses from operations, and had an accumulated deficit of $2.8 billion, primarily as a result of expenses incurred through a combination of research and development activities related to the Company’s various product candidates and expenses supporting those activities. The Company has primarily financed its operations through public offerings of its common stock, convertible debt, private placements of preferred stock prior to its initial public offering, the development funding agreement with SFJ, and the collaboration agreement with Sobi. The Company has financed a portion of its operations through product sales but has not yet achieved profitability.</w:t>
      </w:r>
    </w:p>
    <w:p>
      <w:pPr>
        <w:spacing w:after="0" w:line="145" w:lineRule="exact"/>
        <w:rPr>
          <w:sz w:val="20"/>
          <w:szCs w:val="20"/>
          <w:color w:val="auto"/>
        </w:rPr>
      </w:pPr>
    </w:p>
    <w:p>
      <w:pPr>
        <w:jc w:val="both"/>
        <w:ind w:right="120" w:firstLine="509"/>
        <w:spacing w:after="0" w:line="288" w:lineRule="auto"/>
        <w:rPr>
          <w:sz w:val="20"/>
          <w:szCs w:val="20"/>
          <w:color w:val="auto"/>
        </w:rPr>
      </w:pPr>
      <w:r>
        <w:rPr>
          <w:rFonts w:ascii="Times New Roman" w:cs="Times New Roman" w:eastAsia="Times New Roman" w:hAnsi="Times New Roman"/>
          <w:sz w:val="17"/>
          <w:szCs w:val="17"/>
          <w:color w:val="auto"/>
        </w:rPr>
        <w:t>The Company believes that its cash and cash equivalents of $351.2 million at December 31, 2023 and the cash anticipated to be generated from the unwind of the capped call transactions, together with cash anticipated to be generated from sales of EMPAVELI and from SYFOVRE will be sufficient to fund its operations and capital expenditure requirements for at least twelve months from the date of issuance of these consolidated financial statements.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88"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wholly-owned subsidiaries. All intercompany balances and transactions have been eliminated in consolidation. The consolidated financial statements have been prepared in conformity with accounting principles generally accepted in the United States (“U.S. GAAP”) and following the requirements of the Securities and Exchange Commission (the “SEC”).</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revenues consist of product sales of EMPAVELI and SYFOVRE and revenue derived from its collaboration arrangement with Sobi.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License and Collaboration Agreements for further discussion related to the Sobi Collaboration and License Agreement.</w:t>
      </w:r>
    </w:p>
    <w:p>
      <w:pPr>
        <w:spacing w:after="0" w:line="177" w:lineRule="exact"/>
        <w:rPr>
          <w:sz w:val="20"/>
          <w:szCs w:val="20"/>
          <w:color w:val="auto"/>
        </w:rPr>
      </w:pPr>
    </w:p>
    <w:p>
      <w:pPr>
        <w:ind w:firstLine="4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contracts with its customers in accordance with ASC Topic 606, </w:t>
      </w:r>
      <w:r>
        <w:rPr>
          <w:rFonts w:ascii="Times New Roman" w:cs="Times New Roman" w:eastAsia="Times New Roman" w:hAnsi="Times New Roman"/>
          <w:sz w:val="18"/>
          <w:szCs w:val="18"/>
          <w:i w:val="1"/>
          <w:iCs w:val="1"/>
          <w:color w:val="auto"/>
        </w:rPr>
        <w:t>Revenue from Contracts with Customers, (</w:t>
      </w:r>
      <w:r>
        <w:rPr>
          <w:rFonts w:ascii="Times New Roman" w:cs="Times New Roman" w:eastAsia="Times New Roman" w:hAnsi="Times New Roman"/>
          <w:sz w:val="18"/>
          <w:szCs w:val="18"/>
          <w:color w:val="auto"/>
        </w:rPr>
        <w:t>“ASC 606”). Pursuant to ASC 606, for arrangements or transactions between participants determined to be within the scope of the contracts with customers guidance, the Company performs the following five steps to determine the appropriate amount of revenue to be recognized as the Company fulfills its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48" w:lineRule="exact"/>
        <w:rPr>
          <w:sz w:val="20"/>
          <w:szCs w:val="20"/>
          <w:color w:val="auto"/>
        </w:rPr>
      </w:pPr>
    </w:p>
    <w:p>
      <w:pPr>
        <w:ind w:right="40" w:firstLine="424"/>
        <w:spacing w:after="0" w:line="265"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02" w:lineRule="exact"/>
        <w:rPr>
          <w:sz w:val="20"/>
          <w:szCs w:val="20"/>
          <w:color w:val="auto"/>
        </w:rPr>
      </w:pPr>
    </w:p>
    <w:p>
      <w:pPr>
        <w:ind w:right="20" w:firstLine="433"/>
        <w:spacing w:after="0" w:line="256" w:lineRule="auto"/>
        <w:rPr>
          <w:sz w:val="20"/>
          <w:szCs w:val="20"/>
          <w:color w:val="auto"/>
        </w:rPr>
      </w:pPr>
      <w:r>
        <w:rPr>
          <w:rFonts w:ascii="Times New Roman" w:cs="Times New Roman" w:eastAsia="Times New Roman" w:hAnsi="Times New Roman"/>
          <w:sz w:val="18"/>
          <w:szCs w:val="18"/>
          <w:color w:val="auto"/>
        </w:rPr>
        <w:t>The Company’s revenue from net product sales was generated in the United States following the FDA’s approval for marketing of EMPAVELI for the treatment of PNH in May 2021 and SYFOVRE in February 2023. The Company sells EMPAVELI and SYFOVRE principally through arrangements with specialty pharmacies (“SPs”) and specialty distributors (“SDs”), who are the Company’s customers. The customers subsequently resell the product to patients and health care providers. The Company applies the ASC 606 five step process discussed above to the contracts with SPs and SDs. The Company provides limited right of return to the customers in cases of shipment errors or expiring or defective products. Product revenues are recognized when the customers take control of the product, which typically occurs upon delivery to the customers.</w:t>
      </w:r>
    </w:p>
    <w:p>
      <w:pPr>
        <w:spacing w:after="0" w:line="145" w:lineRule="exact"/>
        <w:rPr>
          <w:sz w:val="20"/>
          <w:szCs w:val="20"/>
          <w:color w:val="auto"/>
        </w:rPr>
      </w:pPr>
    </w:p>
    <w:p>
      <w:pPr>
        <w:ind w:right="80" w:firstLine="433"/>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product sales at the net sales price which includes estimates of variable consideration for which reserves are established and reflects each of these as a reduction to revenue. Overall, these reserves reflect the Company’s best estimates of the amount of consideration to which the Company is entitled based on the terms of the contract. The amount of variable consideration that is included in the transaction price may be constrained. Actual amounts of consideration ultimately received may differ from the Company’s estimates. If actual results in the future vary from estimates, the Company may need to adjust its estimates, which would affect net revenue in the period of adjustment. The following are the Company’s significant categories of variable consideration:</w:t>
      </w:r>
    </w:p>
    <w:p>
      <w:pPr>
        <w:spacing w:after="0" w:line="143"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SPs and SDs based on a contractually fixed percentage of the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cost (WAC). The Company does not receive a distinct good or service in exchange for the payment. Distribution fees are recorded as an offset to revenue based on contractual terms at the time revenue from the sale is recognized.</w:t>
      </w:r>
    </w:p>
    <w:p>
      <w:pPr>
        <w:spacing w:after="0" w:line="145" w:lineRule="exact"/>
        <w:rPr>
          <w:sz w:val="20"/>
          <w:szCs w:val="20"/>
          <w:color w:val="auto"/>
        </w:rPr>
      </w:pPr>
    </w:p>
    <w:p>
      <w:pPr>
        <w:ind w:right="180" w:firstLine="433"/>
        <w:spacing w:after="0" w:line="261"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and fees related to contracts with various third-party payers including pharmacy benefit managers,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insurers and government healthcare programs that purchase from SDs at a discounted price. SDs charge back to the Company the difference between the price initially paid by SDs and the discounted price paid to SDs by these entities. The Company issues credit notes for the chargeback which are applied to future sales.</w:t>
      </w:r>
    </w:p>
    <w:p>
      <w:pPr>
        <w:spacing w:after="0" w:line="138" w:lineRule="exact"/>
        <w:rPr>
          <w:sz w:val="20"/>
          <w:szCs w:val="20"/>
          <w:color w:val="auto"/>
        </w:rPr>
      </w:pPr>
    </w:p>
    <w:p>
      <w:pPr>
        <w:ind w:right="160" w:firstLine="424"/>
        <w:spacing w:after="0" w:line="283"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Consistent with industry practice, the Company offers SPs and SDs limited product return rights for shipment errors or expiring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products; provided that the return is within a specified period around the product expiration date as set</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forth in the applicable individual distribution agreement. The Company does not allow product returns for product that has been dispensed to a patient. As the Company receives inventory reports from SPs and SDs and has visibility into the inventory distribution channel, it is able to make a reasonable estimate of future potential product returns based on this on-hand channel inventory data and sell-through data obtained from SPs and SDs. In arriving at its estimate for product returns, the Company also considers historical product returns (to the extent available), the underlying product demand, and industry data specific to the specialty pharmaceutical distribution industry.</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Licensing and Collaboration Revenue</w:t>
      </w:r>
    </w:p>
    <w:p>
      <w:pPr>
        <w:spacing w:after="0" w:line="186" w:lineRule="exact"/>
        <w:rPr>
          <w:sz w:val="20"/>
          <w:szCs w:val="20"/>
          <w:color w:val="auto"/>
        </w:rPr>
      </w:pPr>
    </w:p>
    <w:p>
      <w:pPr>
        <w:ind w:right="100" w:firstLine="499"/>
        <w:spacing w:after="0" w:line="255" w:lineRule="auto"/>
        <w:rPr>
          <w:sz w:val="20"/>
          <w:szCs w:val="20"/>
          <w:color w:val="auto"/>
        </w:rPr>
      </w:pPr>
      <w:r>
        <w:rPr>
          <w:rFonts w:ascii="Times New Roman" w:cs="Times New Roman" w:eastAsia="Times New Roman" w:hAnsi="Times New Roman"/>
          <w:sz w:val="18"/>
          <w:szCs w:val="18"/>
          <w:color w:val="auto"/>
        </w:rPr>
        <w:t xml:space="preserve">The Company analyzes license and collaboration arrangements pursuant to ASC Topic 808, </w:t>
      </w:r>
      <w:r>
        <w:rPr>
          <w:rFonts w:ascii="Times New Roman" w:cs="Times New Roman" w:eastAsia="Times New Roman" w:hAnsi="Times New Roman"/>
          <w:sz w:val="18"/>
          <w:szCs w:val="18"/>
          <w:i w:val="1"/>
          <w:iCs w:val="1"/>
          <w:color w:val="auto"/>
        </w:rPr>
        <w:t>Collaborative Arrangement Guidance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Considerations, </w:t>
      </w:r>
      <w:r>
        <w:rPr>
          <w:rFonts w:ascii="Times New Roman" w:cs="Times New Roman" w:eastAsia="Times New Roman" w:hAnsi="Times New Roman"/>
          <w:sz w:val="18"/>
          <w:szCs w:val="18"/>
          <w:color w:val="auto"/>
        </w:rPr>
        <w:t>(“ASC 808”) to assess whether such arrangements, or transactions between arrangement participants, involve joint 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guidance or if they are more reflective of a vendor-customer relationship and, therefore, within the scope of ASC 606. This assessment is performed throughout the life of the arrangement based on changes in the responsibilities of all parties in the arrangement.</w:t>
      </w:r>
    </w:p>
    <w:p>
      <w:pPr>
        <w:spacing w:after="0" w:line="148" w:lineRule="exact"/>
        <w:rPr>
          <w:sz w:val="20"/>
          <w:szCs w:val="20"/>
          <w:color w:val="auto"/>
        </w:rPr>
      </w:pPr>
    </w:p>
    <w:p>
      <w:pPr>
        <w:ind w:right="200" w:firstLine="499"/>
        <w:spacing w:after="0" w:line="260" w:lineRule="auto"/>
        <w:rPr>
          <w:sz w:val="20"/>
          <w:szCs w:val="20"/>
          <w:color w:val="auto"/>
        </w:rPr>
      </w:pPr>
      <w:r>
        <w:rPr>
          <w:rFonts w:ascii="Times New Roman" w:cs="Times New Roman" w:eastAsia="Times New Roman" w:hAnsi="Times New Roman"/>
          <w:sz w:val="18"/>
          <w:szCs w:val="18"/>
          <w:color w:val="auto"/>
        </w:rPr>
        <w:t>For elements of collaboration arrangements that are not accounted for pursuant to guidance in ASC 606, an appropriate recognition method is determined and applied consistently, generally by analogy to the revenue from contracts with customers guidance. Amounts related to transactions with a counterparty in a collaborative arrangement that is not a customer are presented as collaboration revenue and in a separate line item from revenue recognized from contracts with customers, if any, in the consolidated statements of operations.</w:t>
      </w:r>
    </w:p>
    <w:p>
      <w:pPr>
        <w:spacing w:after="0" w:line="155" w:lineRule="exact"/>
        <w:rPr>
          <w:sz w:val="20"/>
          <w:szCs w:val="20"/>
          <w:color w:val="auto"/>
        </w:rPr>
      </w:pPr>
    </w:p>
    <w:p>
      <w:pPr>
        <w:ind w:right="160" w:firstLine="499"/>
        <w:spacing w:after="0" w:line="265" w:lineRule="auto"/>
        <w:rPr>
          <w:sz w:val="20"/>
          <w:szCs w:val="20"/>
          <w:color w:val="auto"/>
        </w:rPr>
      </w:pPr>
      <w:r>
        <w:rPr>
          <w:rFonts w:ascii="Times New Roman" w:cs="Times New Roman" w:eastAsia="Times New Roman" w:hAnsi="Times New Roman"/>
          <w:sz w:val="18"/>
          <w:szCs w:val="18"/>
          <w:color w:val="auto"/>
        </w:rPr>
        <w:t>Pursuant to ASC 606, for arrangements or transactions between arrangement participants determined to be within the scope of the contracts with customers guidance, the Company performs the five-step process discussed above to determine the appropriate amount of revenue to be recognized as the Company fulfills its obligations.</w:t>
      </w:r>
    </w:p>
    <w:p>
      <w:pPr>
        <w:spacing w:after="0" w:line="137" w:lineRule="exact"/>
        <w:rPr>
          <w:sz w:val="20"/>
          <w:szCs w:val="20"/>
          <w:color w:val="auto"/>
        </w:rPr>
      </w:pPr>
    </w:p>
    <w:p>
      <w:pPr>
        <w:ind w:right="20" w:firstLine="499"/>
        <w:spacing w:after="0" w:line="253" w:lineRule="auto"/>
        <w:rPr>
          <w:sz w:val="20"/>
          <w:szCs w:val="20"/>
          <w:color w:val="auto"/>
        </w:rPr>
      </w:pPr>
      <w:r>
        <w:rPr>
          <w:rFonts w:ascii="Times New Roman" w:cs="Times New Roman" w:eastAsia="Times New Roman" w:hAnsi="Times New Roman"/>
          <w:sz w:val="18"/>
          <w:szCs w:val="18"/>
          <w:color w:val="auto"/>
        </w:rPr>
        <w:t>We evaluate the performance obligations promised in the contract that are based on goods and services that will be transferred to the customer and determine whether those obligations are both (i) capable of being distinct and (ii) distinct in the context of the contract. Goods or services that meet these criteria are considered distinct performance obligations. 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transaction price and the likelihood that the transaction price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 Arrangements that include rights to additional goods or services that are exercisable at a customer’s discretion are generally considered options. The Company assesses if these options provide a material right to the customer and, if so, these options are considered performance obligations. The Company has not currently identified any such material rights.</w:t>
      </w:r>
    </w:p>
    <w:p>
      <w:pPr>
        <w:spacing w:after="0" w:line="148" w:lineRule="exact"/>
        <w:rPr>
          <w:sz w:val="20"/>
          <w:szCs w:val="20"/>
          <w:color w:val="auto"/>
        </w:rPr>
      </w:pPr>
    </w:p>
    <w:p>
      <w:pPr>
        <w:ind w:right="20" w:firstLine="499"/>
        <w:spacing w:after="0" w:line="265"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 For performance obligations that are satisfied over time, the Company recognizes revenue using an input or output measure of progress that best depicts the satisfaction of the relevant performance obligation.</w:t>
      </w:r>
    </w:p>
    <w:p>
      <w:pPr>
        <w:spacing w:after="0" w:line="150" w:lineRule="exact"/>
        <w:rPr>
          <w:sz w:val="20"/>
          <w:szCs w:val="20"/>
          <w:color w:val="auto"/>
        </w:rPr>
      </w:pPr>
    </w:p>
    <w:p>
      <w:pPr>
        <w:ind w:right="120" w:firstLine="499"/>
        <w:spacing w:after="0" w:line="281" w:lineRule="auto"/>
        <w:rPr>
          <w:sz w:val="20"/>
          <w:szCs w:val="20"/>
          <w:color w:val="auto"/>
        </w:rPr>
      </w:pPr>
      <w:r>
        <w:rPr>
          <w:rFonts w:ascii="Times New Roman" w:cs="Times New Roman" w:eastAsia="Times New Roman" w:hAnsi="Times New Roman"/>
          <w:sz w:val="18"/>
          <w:szCs w:val="18"/>
          <w:color w:val="auto"/>
        </w:rPr>
        <w:t>After contract inception, the transaction price is reassessed at every period end and updated for changes such as resolution of uncertain events. Any change in the overall transaction price is allocated to the performance obligations on the same methodology as at contract inception.</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12, License and Collaboration Agreements, for further discussion related to the Sobi collaboration agreement.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8"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development liability, accrued expenses, prepaid expenses, convertible debt, reserves for variable consideration, reserves for excess or obsolete inventories, and income taxes.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prioritize valuation inputs based upon the observable nature of those inputs as follows:</w:t>
      </w:r>
    </w:p>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left="1420" w:right="60" w:hanging="935"/>
        <w:spacing w:after="0" w:line="281"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22"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Company’s financial instruments, in addition to those presented in Note 8, Long-term Debt, and Note 11, Fair Value Measurements, include cash and cash equivalents, accounts payable and accrued liabilities. Management believes that the carrying amounts of cash and cash equivalents, accounts payable and accrued expenses approximate the fair value due to the short-term nature of those instruments.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8"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Cash and cash equivalents are defined as cash in banks and investment instruments having maturities of three months or less from their acquisition date. The carrying amounts reported in the consolidated balance sheets for cash and cash equivalents are valued at cost, which approximates the fair value. See Note 11, Fair Value Measurements, for additional information.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primarily arise from product sales. They are generally stated at the invoiced amount and do not bear interest. The accounts receivable from product sales represents receivables due from the Company’s SPs or SDs. The Company has had no historical write offs of its accounts receivable as of December 31, 2023, and its payment terms are generally 30-65 days for EMPAVELI and 60-150 days for SYFOVRE. The Company monitors the financial performance and creditworthiness of its customers and provides reserves against trade receivables for expected credit losses that may result from a customer’s inability to pay. Amounts determined to be uncollectible are written-off against the established reserve. As of December 31, 2023 and 2022, the credit profiles for the Company’s customers were deemed to be in good standing and an allowance for credit losses was not considered necessary.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first-in, first-out basis. Inventory costs include third-party contract manufacturing, third-party packaging services, and freight. 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If actual market conditions are less favorable than projected by management, additional write-downs of inventory may be required which would be recorded as a cost of sales in the consolidated statements of operations and comprehensive loss.</w:t>
      </w:r>
    </w:p>
    <w:p>
      <w:pPr>
        <w:spacing w:after="0" w:line="186"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Prior to regulatory approval of its product candidates, the Company expensed costs associated with the manufacturing of its product candidates to research and development expense unless the Company was reasonably certain such costs have future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commercial use and net realizable value. When the Company believes regulatory approval and subsequent commercialization of its product candidates is probable, and the Company also expects future economic benefit from the sales of the product candidates to be realized, the Company will then capitalize the costs of production as inventory. Inventory that can be used in either the production of clinical or commercial product is expensed as research and development expense when selected for use in a clinical manufacturing campaign.</w:t>
      </w:r>
    </w:p>
    <w:p>
      <w:pPr>
        <w:spacing w:after="0" w:line="188"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Prior to receiving FDA approval for EMPAVELI on May 14, 2021, the Company included in research and development expense the costs associated with the manufacture of EMPAVELI inventory to be sold upon commercialization. As a result, the manufacturing costs related to the EMPAVELI inventory build-up incurred before FDA approval were expensed in a prior period and are, therefore, excluded from the cost of goods sold and inventory. As of December 31, 2023, the remaining pre-FDA approved inventory was $19.4 million, which primarily consisted of raw materials.</w:t>
      </w:r>
    </w:p>
    <w:p>
      <w:pPr>
        <w:spacing w:after="0" w:line="182"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Shipping and handling costs for product shipments are recorded as incurred in cost of sales along with costs associated with manufacturing the product and any inventory write-downs.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Development Liability</w:t>
      </w:r>
    </w:p>
    <w:p>
      <w:pPr>
        <w:spacing w:after="0" w:line="21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212529"/>
        </w:rPr>
        <w:t>From December 15, 2021 and thereafter until the final annual payment due December 2027, the development liability will be accreted from its initial carrying amount to the total payment amount using the effective interest rate method under ASC 835 over the remaining life of the SFJ agreement as defined in Note 6. The difference between the carrying amount and the total payment amount is presented as discount to the development liability. The accretion is recorded as interest expense in the consolidated income statement.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right="220" w:firstLine="509"/>
        <w:spacing w:after="0" w:line="260" w:lineRule="auto"/>
        <w:rPr>
          <w:sz w:val="20"/>
          <w:szCs w:val="20"/>
          <w:color w:val="auto"/>
        </w:rPr>
      </w:pPr>
      <w:r>
        <w:rPr>
          <w:rFonts w:ascii="Times New Roman" w:cs="Times New Roman" w:eastAsia="Times New Roman" w:hAnsi="Times New Roman"/>
          <w:sz w:val="18"/>
          <w:szCs w:val="18"/>
          <w:color w:val="212529"/>
        </w:rPr>
        <w:t>The functional currency of each of the Company’s subsidiaries is its local currency, except for the wholly owned subsidiaries in Switzerland and Netherlands where the functional currency is the U.S. dollar. Revenues and expenses of the subsidiaries have been translated into U.S. dollars at average exchange rates prevailing during the respective periods. Assets and liabilities have been translated at the rates of exchange on the balance sheet date. The resulting translation gain and loss adjustments are recorded directly as a separate component of stockholders’ equity.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Research and development expenses include (i) employee-related expenses, including salaries, benefits, travel and share-based compensation expense; (ii) external research and development expenses incurred under arrangements with third parties, such as contract research and contract manufacturing organizations, investigational sites and consultants, including share-based compensation expense for consultants; (iii) the cost of acquiring, developing and manufacturing clinical study materials; and (iv) costs associated with preclinical and clinical activities and regulatory operations.</w:t>
      </w:r>
    </w:p>
    <w:p>
      <w:pPr>
        <w:spacing w:after="0" w:line="15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Company’s clinical sites and vendors. These costs consist of direct and indirect costs associated with specific projects, as well as fees paid to various entities that perform certain research on behalf of the Company.</w:t>
      </w:r>
    </w:p>
    <w:p>
      <w:pPr>
        <w:spacing w:after="0" w:line="14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55"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640"/>
        <w:spacing w:after="0" w:line="265" w:lineRule="auto"/>
        <w:rPr>
          <w:sz w:val="20"/>
          <w:szCs w:val="20"/>
          <w:color w:val="auto"/>
        </w:rPr>
      </w:pPr>
      <w:r>
        <w:rPr>
          <w:rFonts w:ascii="Times New Roman" w:cs="Times New Roman" w:eastAsia="Times New Roman" w:hAnsi="Times New Roman"/>
          <w:sz w:val="18"/>
          <w:szCs w:val="18"/>
          <w:color w:val="auto"/>
        </w:rPr>
        <w:t>determination as to whether the tax benefit will more likely than not be realized is based upon the technical merits of the tax position, as well as consideration of the available facts and circumstances. As of December 31, 2023 and 2022, the Company did not have any significant uncertain tax positions.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 Options</w:t>
      </w:r>
    </w:p>
    <w:p>
      <w:pPr>
        <w:spacing w:after="0" w:line="202"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The Company measures stock-based compensation cost at the accounting measurement date based on the fair value of the option and recognizes the expense related to awards to employees on a straight-line basis over the requisite service period of the option, which is typically the vesting period. Forfeitures are recognized as they occur.</w:t>
      </w:r>
    </w:p>
    <w:p>
      <w:pPr>
        <w:spacing w:after="0" w:line="13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each option using the Black-Scholes option pricing model that considers the fair value of its common stock, the exercise price, the expected life of the option, the expected volatility of its common stock, expected dividends on its common stock, and the risk-free interest rate over the expected life of the option. The Company uses the simplified method described in the SEC's Staff Accounting Bulletin No. 107, Share-Based Payment, to determine the expected life of the option grants. The estimate of expected volatility is based on a review of the historical volatility of similar publicly held companies in the biotechnology field over a period commensurate with the option's expected term. The Company has never declared or paid any cash dividends on its common stock and does not expect to do so in the foreseeable future. Accordingly, it uses an expected dividend yield of zero. The risk-free interest rate is based on the U.S. Treasury yield curve in effect at the time of grant valuation for a period commensurate with the option's expected term. These assumptions are subjective and changes in them could significantly impact the value of the option and hence the related compensation expense.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include cash, cash equivalents, and marketable securities. The Company is exposed to credit risk in the event of default by the financial institutions holding its cash and the issuers of its cash equivalents and marketable securities. The Company maintains its cash, cash equivalents and marketable securities with highly-rated, federally-insured financial institutions. At times, such amounts may exceed federally-insured limits. The Company has not experienced any losses on its deposits since inception, and management believes that minimal credit risk exists with respect to these financial institutions.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8"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by the weighted-average shares outstanding during the period. For purposes of the diluted net loss per share calculation, convertible notes and common stock options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0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Company’s components of comprehensive loss other than its net loss, are foreign currency gains/losses recorded from the remeasurement of the long-term intra-entity loan transaction to the Company’s wholly owned subsidiaries, foreign currency gain/loss from the translation of the Company’s wholly owned subsidiaries into U.S. dollars, unrealized gains and losses on marketable securities, and actuarial gains (losses) and prior service costs in connection with the Company's defined benefit plan.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The Company is currently evaluating this guidance to determine the impact it may have on its consolidated financial statements disclosures.</w:t>
      </w:r>
    </w:p>
    <w:p>
      <w:pPr>
        <w:spacing w:after="0" w:line="14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an amendment to the accounting guidance on segment reporting. The amendments require disclosure of significant segment expenses and other segment items and requires entities to provide in interim periods all disclosures about a reportable segment's profit or loss and assets that are currently required annually. The amendment also requires disclosure of the title and position of the chief operating decision maker ("CODM") and an explanation of how the CODM uses the reported measure(s) of segment profit or loss in assessing segment performance and deciding how to allocate resources. The guidance is effective for fiscal years beginning after December 15, 2023, and interim periods within fiscal years beginning after December 15,</w:t>
      </w:r>
    </w:p>
    <w:p>
      <w:pPr>
        <w:sectPr>
          <w:pgSz w:w="11900" w:h="16838" w:orient="portrait"/>
          <w:cols w:equalWidth="0" w:num="1">
            <w:col w:w="11240"/>
          </w:cols>
          <w:pgMar w:left="320" w:top="768" w:right="339" w:bottom="1440" w:gutter="0" w:footer="0" w:header="0"/>
        </w:sectPr>
      </w:pP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2024. Retrospective application is required, and early adoption is permitted. The Company is currently evaluating the impact the guidance will have on its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The Company received FDA approval for the sale of EMPAVELI in the United States in May 2021 and approval for the sale of SYFOVRE in the United States in February 2023. The Company’s product revenues, net of sales discounts and allowances and reserves as of December 31, 2023, 2022 and 2021 totaled $366.3 million, $65.1 million and $15.1 million. The Company’s product revenues consist of sales of EMPAVELI and SYFOVRE to specialty pharmacies and specialty distributors.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reflects product revenue by major source for the following periods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3"/>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EMPAVELI</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Pr>
          <w:p>
            <w:pPr>
              <w:spacing w:after="0"/>
              <w:rPr>
                <w:sz w:val="22"/>
                <w:szCs w:val="22"/>
                <w:color w:val="auto"/>
              </w:rPr>
            </w:pPr>
          </w:p>
        </w:tc>
      </w:tr>
      <w:tr>
        <w:trPr>
          <w:trHeight w:val="233"/>
        </w:trPr>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SYFOVRE</w:t>
            </w:r>
          </w:p>
        </w:tc>
        <w:tc>
          <w:tcPr>
            <w:tcW w:w="10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275,248</w:t>
            </w:r>
          </w:p>
        </w:tc>
        <w:tc>
          <w:tcPr>
            <w:tcW w:w="3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-187960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-187960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8"/>
          <w:szCs w:val="18"/>
          <w:color w:val="auto"/>
        </w:rPr>
        <w:t>The Company’s accounts receivable balance of $206.4 million as of December 31, 2023 and $7.7 million as of December 31, 2022 primarily consisted of EMPAVELI and SYFOVRE product sales receivable and licensing and other revenue receivables from its collaboration with Sobi. The Company does not have a reserve related to expected credit losses against its accounts receivable balance and expects to collect its accounts receivable in the ordinary course of business.</w:t>
      </w:r>
    </w:p>
    <w:p>
      <w:pPr>
        <w:spacing w:after="0" w:line="15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Company’s product sales reserves totaled $16.6 million and $2.4 million as of December 31, 2023 and 2022. respectively. These amounts are included in accrued expenses on the Company’s consolidated balance sheet as of December 31, 2023.</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as of December 31,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3"/>
                <w:szCs w:val="13"/>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Government and</w:t>
            </w:r>
          </w:p>
        </w:tc>
        <w:tc>
          <w:tcPr>
            <w:tcW w:w="280" w:type="dxa"/>
            <w:vAlign w:val="bottom"/>
          </w:tcPr>
          <w:p>
            <w:pPr>
              <w:spacing w:after="0"/>
              <w:rPr>
                <w:sz w:val="13"/>
                <w:szCs w:val="13"/>
                <w:color w:val="auto"/>
              </w:rPr>
            </w:pPr>
          </w:p>
        </w:tc>
        <w:tc>
          <w:tcPr>
            <w:tcW w:w="14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80" w:type="dxa"/>
            <w:vAlign w:val="bottom"/>
          </w:tcPr>
          <w:p>
            <w:pPr>
              <w:spacing w:after="0"/>
              <w:rPr>
                <w:sz w:val="13"/>
                <w:szCs w:val="13"/>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Discounts, and Fees</w:t>
            </w:r>
          </w:p>
        </w:tc>
        <w:tc>
          <w:tcPr>
            <w:tcW w:w="140" w:type="dxa"/>
            <w:vAlign w:val="bottom"/>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other rebates</w:t>
            </w: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2021</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(156 )</w:t>
            </w:r>
          </w:p>
        </w:tc>
        <w:tc>
          <w:tcPr>
            <w:tcW w:w="1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(246 )</w:t>
            </w:r>
          </w:p>
        </w:tc>
        <w:tc>
          <w:tcPr>
            <w:tcW w:w="2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(385 )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(787 )</w:t>
            </w:r>
          </w:p>
        </w:tc>
        <w:tc>
          <w:tcPr>
            <w:tcW w:w="0" w:type="dxa"/>
            <w:vAlign w:val="bottom"/>
          </w:tcPr>
          <w:p>
            <w:pPr>
              <w:spacing w:after="0"/>
              <w:rPr>
                <w:sz w:val="1"/>
                <w:szCs w:val="1"/>
                <w:color w:val="auto"/>
              </w:rPr>
            </w:pPr>
          </w:p>
        </w:tc>
      </w:tr>
      <w:tr>
        <w:trPr>
          <w:trHeight w:val="24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(362 )</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(3,103 )</w:t>
            </w:r>
          </w:p>
        </w:tc>
        <w:tc>
          <w:tcPr>
            <w:tcW w:w="28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(716 )</w:t>
            </w: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(4,181 )</w:t>
            </w:r>
          </w:p>
        </w:tc>
        <w:tc>
          <w:tcPr>
            <w:tcW w:w="0" w:type="dxa"/>
            <w:vAlign w:val="bottom"/>
          </w:tcPr>
          <w:p>
            <w:pPr>
              <w:spacing w:after="0"/>
              <w:rPr>
                <w:sz w:val="1"/>
                <w:szCs w:val="1"/>
                <w:color w:val="auto"/>
              </w:rPr>
            </w:pPr>
          </w:p>
        </w:tc>
      </w:tr>
      <w:tr>
        <w:trPr>
          <w:trHeight w:val="317"/>
        </w:trPr>
        <w:tc>
          <w:tcPr>
            <w:tcW w:w="4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2022</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shd w:val="clear" w:color="auto" w:fill="CFF0FC"/>
          </w:tcPr>
          <w:p>
            <w:pPr>
              <w:spacing w:after="0"/>
              <w:rPr>
                <w:sz w:val="24"/>
                <w:szCs w:val="2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00" w:type="dxa"/>
            <w:vAlign w:val="bottom"/>
            <w:shd w:val="clear" w:color="auto" w:fill="CFF0FC"/>
          </w:tcPr>
          <w:p>
            <w:pPr>
              <w:spacing w:after="0"/>
              <w:rPr>
                <w:sz w:val="24"/>
                <w:szCs w:val="24"/>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40" w:type="dxa"/>
            <w:vAlign w:val="bottom"/>
            <w:shd w:val="clear" w:color="auto" w:fill="CFF0FC"/>
          </w:tcPr>
          <w:p>
            <w:pPr>
              <w:spacing w:after="0"/>
              <w:rPr>
                <w:sz w:val="24"/>
                <w:szCs w:val="24"/>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(1,223 )</w:t>
            </w:r>
          </w:p>
        </w:tc>
        <w:tc>
          <w:tcPr>
            <w:tcW w:w="2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(2,481 )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(3,817 )</w:t>
            </w:r>
          </w:p>
        </w:tc>
        <w:tc>
          <w:tcPr>
            <w:tcW w:w="0" w:type="dxa"/>
            <w:vAlign w:val="bottom"/>
          </w:tcPr>
          <w:p>
            <w:pPr>
              <w:spacing w:after="0"/>
              <w:rPr>
                <w:sz w:val="1"/>
                <w:szCs w:val="1"/>
                <w:color w:val="auto"/>
              </w:rPr>
            </w:pPr>
          </w:p>
        </w:tc>
      </w:tr>
      <w:tr>
        <w:trPr>
          <w:trHeight w:val="24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(12,068 )</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(18,476 )</w:t>
            </w:r>
          </w:p>
        </w:tc>
        <w:tc>
          <w:tcPr>
            <w:tcW w:w="28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(415 )</w:t>
            </w: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(30,960 )</w:t>
            </w:r>
          </w:p>
        </w:tc>
        <w:tc>
          <w:tcPr>
            <w:tcW w:w="0" w:type="dxa"/>
            <w:vAlign w:val="bottom"/>
          </w:tcPr>
          <w:p>
            <w:pPr>
              <w:spacing w:after="0"/>
              <w:rPr>
                <w:sz w:val="1"/>
                <w:szCs w:val="1"/>
                <w:color w:val="auto"/>
              </w:rPr>
            </w:pPr>
          </w:p>
        </w:tc>
      </w:tr>
      <w:tr>
        <w:trPr>
          <w:trHeight w:val="317"/>
        </w:trPr>
        <w:tc>
          <w:tcPr>
            <w:tcW w:w="46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-24765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-7620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Significant customers - Gross product revenues and product sales receivable from the Company's customers who individually accounted for 10% of more of total gross product revenues and/or 10% or more of total product sales receivable consisted of the following:</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Percent of Total Gross Product Revenues</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8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9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A</w:t>
            </w:r>
          </w:p>
        </w:tc>
        <w:tc>
          <w:tcPr>
            <w:tcW w:w="108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8"/>
                <w:szCs w:val="18"/>
                <w:color w:val="auto"/>
                <w:w w:val="96"/>
              </w:rPr>
              <w:t>24%</w:t>
            </w:r>
          </w:p>
        </w:tc>
        <w:tc>
          <w:tcPr>
            <w:tcW w:w="1980" w:type="dxa"/>
            <w:vAlign w:val="bottom"/>
            <w:gridSpan w:val="3"/>
            <w:shd w:val="clear" w:color="auto" w:fill="CFF0FC"/>
          </w:tcPr>
          <w:p>
            <w:pPr>
              <w:jc w:val="center"/>
              <w:ind w:left="999"/>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478"/>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8"/>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Customer C</w:t>
            </w:r>
          </w:p>
        </w:tc>
        <w:tc>
          <w:tcPr>
            <w:tcW w:w="108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6"/>
              </w:rPr>
              <w:t>16%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D</w:t>
            </w:r>
          </w:p>
        </w:tc>
        <w:tc>
          <w:tcPr>
            <w:tcW w:w="108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8"/>
                <w:szCs w:val="18"/>
                <w:color w:val="auto"/>
                <w:w w:val="96"/>
              </w:rPr>
              <w:t>54%</w:t>
            </w:r>
          </w:p>
        </w:tc>
        <w:tc>
          <w:tcPr>
            <w:tcW w:w="1980" w:type="dxa"/>
            <w:vAlign w:val="bottom"/>
            <w:gridSpan w:val="3"/>
            <w:shd w:val="clear" w:color="auto" w:fill="CFF0FC"/>
          </w:tcPr>
          <w:p>
            <w:pPr>
              <w:jc w:val="center"/>
              <w:ind w:left="1019"/>
              <w:spacing w:after="0"/>
              <w:rPr>
                <w:sz w:val="20"/>
                <w:szCs w:val="20"/>
                <w:color w:val="auto"/>
              </w:rPr>
            </w:pPr>
            <w:r>
              <w:rPr>
                <w:rFonts w:ascii="Times New Roman" w:cs="Times New Roman" w:eastAsia="Times New Roman" w:hAnsi="Times New Roman"/>
                <w:sz w:val="18"/>
                <w:szCs w:val="18"/>
                <w:color w:val="auto"/>
                <w:w w:val="99"/>
              </w:rPr>
              <w:t>1%</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472"/>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gridSpan w:val="8"/>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r>
      <w:tr>
        <w:trPr>
          <w:trHeight w:val="169"/>
        </w:trPr>
        <w:tc>
          <w:tcPr>
            <w:tcW w:w="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gridSpan w:val="5"/>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6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60" w:type="dxa"/>
            <w:vAlign w:val="bottom"/>
          </w:tcPr>
          <w:p>
            <w:pPr>
              <w:spacing w:after="0"/>
              <w:rPr>
                <w:sz w:val="19"/>
                <w:szCs w:val="19"/>
                <w:color w:val="auto"/>
              </w:rPr>
            </w:pPr>
          </w:p>
        </w:tc>
        <w:tc>
          <w:tcPr>
            <w:tcW w:w="4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A</w:t>
            </w:r>
          </w:p>
        </w:tc>
        <w:tc>
          <w:tcPr>
            <w:tcW w:w="1080" w:type="dxa"/>
            <w:vAlign w:val="bottom"/>
            <w:shd w:val="clear" w:color="auto" w:fill="CFF0FC"/>
          </w:tcPr>
          <w:p>
            <w:pPr>
              <w:spacing w:after="0"/>
              <w:rPr>
                <w:sz w:val="19"/>
                <w:szCs w:val="19"/>
                <w:color w:val="auto"/>
              </w:rPr>
            </w:pPr>
          </w:p>
        </w:tc>
        <w:tc>
          <w:tcPr>
            <w:tcW w:w="198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618"/>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w:t>
            </w:r>
          </w:p>
        </w:tc>
        <w:tc>
          <w:tcPr>
            <w:tcW w:w="108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618"/>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60" w:type="dxa"/>
            <w:vAlign w:val="bottom"/>
          </w:tcPr>
          <w:p>
            <w:pPr>
              <w:spacing w:after="0"/>
              <w:rPr>
                <w:sz w:val="21"/>
                <w:szCs w:val="21"/>
                <w:color w:val="auto"/>
              </w:rPr>
            </w:pPr>
          </w:p>
        </w:tc>
        <w:tc>
          <w:tcPr>
            <w:tcW w:w="4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D</w:t>
            </w:r>
          </w:p>
        </w:tc>
        <w:tc>
          <w:tcPr>
            <w:tcW w:w="1080" w:type="dxa"/>
            <w:vAlign w:val="bottom"/>
            <w:shd w:val="clear" w:color="auto" w:fill="CFF0FC"/>
          </w:tcPr>
          <w:p>
            <w:pPr>
              <w:spacing w:after="0"/>
              <w:rPr>
                <w:sz w:val="21"/>
                <w:szCs w:val="21"/>
                <w:color w:val="auto"/>
              </w:rPr>
            </w:pPr>
          </w:p>
        </w:tc>
        <w:tc>
          <w:tcPr>
            <w:tcW w:w="198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00" w:lineRule="exact"/>
        <w:rPr>
          <w:sz w:val="20"/>
          <w:szCs w:val="20"/>
          <w:color w:val="auto"/>
        </w:rPr>
      </w:pPr>
    </w:p>
    <w:p>
      <w:pPr>
        <w:spacing w:after="0" w:line="204" w:lineRule="exact"/>
        <w:rPr>
          <w:sz w:val="20"/>
          <w:szCs w:val="20"/>
          <w:color w:val="auto"/>
        </w:rPr>
      </w:pPr>
    </w:p>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The Company’s inventory of EMPAVELI and SYFOVRE consisted of the following as of December 31, 2023, and December 31, 2022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4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1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82,924</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100" w:type="dxa"/>
            <w:vAlign w:val="bottom"/>
          </w:tcPr>
          <w:p>
            <w:pPr>
              <w:spacing w:after="0"/>
              <w:rPr>
                <w:sz w:val="20"/>
                <w:szCs w:val="20"/>
                <w:color w:val="auto"/>
              </w:rPr>
            </w:pPr>
          </w:p>
        </w:tc>
      </w:tr>
      <w:tr>
        <w:trPr>
          <w:trHeight w:val="247"/>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3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134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85,714</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-187960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obsolete, unmarketability or other reasons are charged to cost of sales. For the years ended December 31, 2023 and 2022, the Company recognized write-downs of $6.4 million and $1.5 million,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assets and other current assets consisted of the following as of December 31, 2023, and December 31, 2022 (in thousands):</w:t>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Down payments for inventory</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Prepaid research and development</w:t>
      </w:r>
    </w:p>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prepaid expenses</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Total prepaid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Royalties receivable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ERC credit</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Receivable from collaboration agreement (1)</w:t>
      </w:r>
    </w:p>
    <w:p>
      <w:pPr>
        <w:spacing w:after="0" w:line="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Deposits and other current assets</w:t>
      </w:r>
    </w:p>
    <w:p>
      <w:pPr>
        <w:spacing w:after="0" w:line="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other current assets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380" w:type="dxa"/>
            <w:vAlign w:val="bottom"/>
          </w:tcPr>
          <w:p>
            <w:pPr>
              <w:spacing w:after="0"/>
              <w:rPr>
                <w:sz w:val="19"/>
                <w:szCs w:val="19"/>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w:t>
            </w:r>
          </w:p>
        </w:tc>
      </w:tr>
      <w:tr>
        <w:trPr>
          <w:trHeight w:val="238"/>
        </w:trPr>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15,181</w:t>
            </w:r>
          </w:p>
        </w:tc>
      </w:tr>
      <w:tr>
        <w:trPr>
          <w:trHeight w:val="250"/>
        </w:trPr>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3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w:t>
            </w:r>
          </w:p>
        </w:tc>
      </w:tr>
      <w:tr>
        <w:trPr>
          <w:trHeight w:val="238"/>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380" w:type="dxa"/>
            <w:vAlign w:val="bottom"/>
          </w:tcPr>
          <w:p>
            <w:pPr>
              <w:spacing w:after="0"/>
              <w:rPr>
                <w:sz w:val="20"/>
                <w:szCs w:val="20"/>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57"/>
        </w:trPr>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24"/>
                <w:szCs w:val="24"/>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380" w:type="dxa"/>
            <w:vAlign w:val="bottom"/>
          </w:tcPr>
          <w:p>
            <w:pPr>
              <w:spacing w:after="0"/>
              <w:rPr>
                <w:sz w:val="19"/>
                <w:szCs w:val="19"/>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38"/>
        </w:trPr>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43"/>
        </w:trPr>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50"/>
        </w:trPr>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3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38"/>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380" w:type="dxa"/>
            <w:vAlign w:val="bottom"/>
          </w:tcPr>
          <w:p>
            <w:pPr>
              <w:spacing w:after="0"/>
              <w:rPr>
                <w:sz w:val="20"/>
                <w:szCs w:val="20"/>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-1883410</wp:posOffset>
            </wp:positionV>
            <wp:extent cx="619887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98870" cy="15430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-1574800</wp:posOffset>
            </wp:positionV>
            <wp:extent cx="6198870"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198870" cy="16256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-804545</wp:posOffset>
            </wp:positionV>
            <wp:extent cx="619887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98870" cy="15430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-495935</wp:posOffset>
            </wp:positionV>
            <wp:extent cx="619887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198870" cy="15430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-179070</wp:posOffset>
            </wp:positionV>
            <wp:extent cx="6198870" cy="1797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98870" cy="1797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940" w:space="720"/>
            <w:col w:w="4580"/>
          </w:cols>
          <w:pgMar w:left="320" w:top="768" w:right="339" w:bottom="1440" w:gutter="0" w:footer="0" w:header="0"/>
          <w:type w:val="continuous"/>
        </w:sectPr>
      </w:pPr>
    </w:p>
    <w:p>
      <w:pPr>
        <w:ind w:left="1260" w:right="740" w:hanging="503"/>
        <w:spacing w:after="0" w:line="281"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waived the remaining reimbursement payment of $15.0 million in connection with the decision to discontinue the CAD program.</w:t>
      </w:r>
    </w:p>
    <w:p>
      <w:pPr>
        <w:spacing w:after="0" w:line="12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provisions of the Coronavirus Aid, Relief, and Economic Security Act (the “CARES Act”) signed into law on March 27, 2020 and the subsequent extension of the CARES Act, the Company was eligible for a refundable employee retention credit (“ERC”) subject to certain criteria. The ERC provides eligible employers with less than 500 employees a refundable tax credit against the employer’s share of social security taxes. The ERC is equal to 70% of qualified wages paid to employees during 2021 calendar year for a maximum credit of $7,000 per employee for each calendar quarter through September 30, 2021. In November 2022, the Company filed for an $8.7 million refund under the CARES Act relating to the ERC. The full refund amount was received in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Development Liability</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February 28, 2019, the Company entered into a development funding agreement with SFJ (the “SFJ agreement”), under which SFJ agreed to provide funding to the Company to support the development of pegcetacoplan for the treatment of patients with PNH. Pursuant to the agreement, SFJ paid the Company $60.0 million following the signing of the agreement and agreed to pay the Company up to an additional $60.0 million in the aggregate in three equal installments upon the achievement of specified development milestones with respect to the Company’s Phase 3 program for pegcetacoplan in PNH and subject to the Company having cash resources at the time sufficient to fund at least 10 months of the Company’s operations.</w:t>
      </w:r>
    </w:p>
    <w:p>
      <w:pPr>
        <w:sectPr>
          <w:pgSz w:w="11900" w:h="16838" w:orient="portrait"/>
          <w:cols w:equalWidth="0" w:num="1">
            <w:col w:w="11240"/>
          </w:cols>
          <w:pgMar w:left="320" w:top="768" w:right="339" w:bottom="1440" w:gutter="0" w:footer="0" w:header="0"/>
          <w:type w:val="continuous"/>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In June 2019 we amended the SFJ agreement to include an additional $20 million funding payment. SFJ paid us $80.0 million under the amended SFJ agreement between June 2019 and January 2020.</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the SFJ agreement, following regulatory approval by the FDA in May 2021 for the use of systemic pegcetacoplan as a treatment for PNH, the Company became obligated to pay SFJ an initial payment of $4.0 million and then an additional $226.0 million in the aggregate in six additional annual payments with the majority of the payments being made from the third anniversary to the sixth anniversary of regulatory approval. The Company paid SFJ the initial payment of $4.0 million in June 2021, its first annual payment of $11.5 million in May 2022 and its second annual payment of $24.5 million in May 2023. The subsequent annual payments remaining are due and payable in May of each year from 2024 through 2027.</w:t>
      </w:r>
    </w:p>
    <w:p>
      <w:pPr>
        <w:spacing w:after="0" w:line="1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Following regulatory approval of systemic pegcetacoplan by the European Medicines Agency(“EMA”) in December 2021, the Company became obligated to pay SFJ an initial payment of $5.0 million and then an additional $225.0 million in the aggregate in six additional annual payments with the majority of the payments being made from the third anniversary to the sixth anniversary of regulatory approval. The Company paid SFJ the initial payment of $5.0 million in January 2022 its first annual payment of $18.0 million in December 2022 and its second annual payment of $31.0 million in December 2023. The subsequent annual payments are due and payable in December of each year from 2024 through 2027.</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paid SFJ a total of $94.0 million as of December 31, 2023.</w:t>
      </w:r>
    </w:p>
    <w:p>
      <w:pPr>
        <w:spacing w:after="0" w:line="22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Additionally, the Company granted a security interest to SFJ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pacing w:after="0" w:line="182"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 xml:space="preserve">From December 15, 2021 to the final annual payment due in December 2027, the development liability will be accreted from its initial carrying amount to the total payment amount using the effective interest rate method under the ASC Topic 835,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over the remaining life of the SFJ agreement. The difference between the carrying amount and the total payment amount is presented as a discount to the development liability. The accretion is recorded as interest expense in the unaudited condensed consolidated statement of operations.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development liability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0"/>
        </w:trPr>
        <w:tc>
          <w:tcPr>
            <w:tcW w:w="6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Effective</w:t>
            </w:r>
          </w:p>
        </w:tc>
      </w:tr>
      <w:tr>
        <w:trPr>
          <w:trHeight w:val="202"/>
        </w:trPr>
        <w:tc>
          <w:tcPr>
            <w:tcW w:w="6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Interest</w:t>
            </w:r>
          </w:p>
        </w:tc>
      </w:tr>
      <w:tr>
        <w:trPr>
          <w:trHeight w:val="232"/>
        </w:trPr>
        <w:tc>
          <w:tcPr>
            <w:tcW w:w="6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40" w:type="dxa"/>
            <w:vAlign w:val="bottom"/>
          </w:tcPr>
          <w:p>
            <w:pPr>
              <w:spacing w:after="0"/>
              <w:rPr>
                <w:sz w:val="20"/>
                <w:szCs w:val="20"/>
                <w:color w:val="auto"/>
              </w:rPr>
            </w:pPr>
          </w:p>
        </w:tc>
      </w:tr>
      <w:tr>
        <w:trPr>
          <w:trHeight w:val="228"/>
        </w:trPr>
        <w:tc>
          <w:tcPr>
            <w:tcW w:w="6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366,000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421,500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7.91 %</w:t>
            </w:r>
          </w:p>
        </w:tc>
      </w:tr>
      <w:tr>
        <w:trPr>
          <w:trHeight w:val="245"/>
        </w:trPr>
        <w:tc>
          <w:tcPr>
            <w:tcW w:w="6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Unamortized discount to development liability</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(50,353 )</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(76,349 )</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9"/>
        </w:trPr>
        <w:tc>
          <w:tcPr>
            <w:tcW w:w="6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Current portion of development liability, net of discount</w:t>
            </w: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(75,830 )</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(29,504 )</w:t>
            </w: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6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long term development liability</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color w:val="auto"/>
              </w:rPr>
              <w:t>239,817</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315,647</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-187960</wp:posOffset>
            </wp:positionV>
            <wp:extent cx="137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-187960</wp:posOffset>
            </wp:positionV>
            <wp:extent cx="939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2023 and December 31, 2022 interest expense of $26.0 million and $26.9 million was recorded for the accretion of the development liability. For the period from December 15, 2021 through December 31, 2021, $1.2 million of interest expense was recorded for the accretion of the development liability.</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Future minimum SFJ payments as of December 31, 2023 is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7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57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700" w:type="dxa"/>
            <w:vAlign w:val="bottom"/>
            <w:vMerge w:val="restart"/>
          </w:tcPr>
          <w:p>
            <w:pPr>
              <w:jc w:val="right"/>
              <w:ind w:right="3770"/>
              <w:spacing w:after="0"/>
              <w:rPr>
                <w:sz w:val="20"/>
                <w:szCs w:val="20"/>
                <w:color w:val="auto"/>
              </w:rPr>
            </w:pPr>
            <w:r>
              <w:rPr>
                <w:rFonts w:ascii="Times New Roman" w:cs="Times New Roman" w:eastAsia="Times New Roman" w:hAnsi="Times New Roman"/>
                <w:sz w:val="18"/>
                <w:szCs w:val="18"/>
                <w:color w:val="auto"/>
              </w:rPr>
              <w:t>136</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9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9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80"/>
          </w:cols>
          <w:pgMar w:left="320" w:top="768" w:right="2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2023, and December 31, 2022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34,849</w:t>
            </w:r>
          </w:p>
        </w:tc>
        <w:tc>
          <w:tcPr>
            <w:tcW w:w="80" w:type="dxa"/>
            <w:vAlign w:val="bottom"/>
            <w:shd w:val="clear" w:color="auto" w:fill="CFF0FC"/>
          </w:tcPr>
          <w:p>
            <w:pPr>
              <w:spacing w:after="0"/>
              <w:rPr>
                <w:sz w:val="20"/>
                <w:szCs w:val="20"/>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80" w:type="dxa"/>
            <w:vAlign w:val="bottom"/>
            <w:shd w:val="clear" w:color="auto" w:fill="CFF0FC"/>
          </w:tcPr>
          <w:p>
            <w:pPr>
              <w:spacing w:after="0"/>
              <w:rPr>
                <w:sz w:val="21"/>
                <w:szCs w:val="2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80" w:type="dxa"/>
            <w:vAlign w:val="bottom"/>
          </w:tcPr>
          <w:p>
            <w:pPr>
              <w:spacing w:after="0"/>
              <w:rPr>
                <w:sz w:val="20"/>
                <w:szCs w:val="20"/>
                <w:color w:val="auto"/>
              </w:rPr>
            </w:pPr>
          </w:p>
        </w:tc>
      </w:tr>
      <w:tr>
        <w:trPr>
          <w:trHeight w:val="247"/>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95,139</w:t>
            </w:r>
          </w:p>
        </w:tc>
        <w:tc>
          <w:tcPr>
            <w:tcW w:w="8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-187960</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88"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the 2019 Convertible Notes with an aggregate principal amount of $220.0 million issued pursuant to an indenture (the “Indenture”) with U.S. Bank National Association, as trustee (the “Trustee”).</w:t>
      </w:r>
    </w:p>
    <w:p>
      <w:pPr>
        <w:spacing w:after="0" w:line="136"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Convertible Notes to pay the cost of the capped call transactions described below.</w:t>
      </w:r>
    </w:p>
    <w:p>
      <w:pPr>
        <w:spacing w:after="0" w:line="150" w:lineRule="exact"/>
        <w:rPr>
          <w:sz w:val="20"/>
          <w:szCs w:val="20"/>
          <w:color w:val="auto"/>
        </w:rPr>
      </w:pPr>
    </w:p>
    <w:p>
      <w:pPr>
        <w:ind w:right="220" w:firstLine="554"/>
        <w:spacing w:after="0" w:line="260" w:lineRule="auto"/>
        <w:rPr>
          <w:sz w:val="20"/>
          <w:szCs w:val="20"/>
          <w:color w:val="auto"/>
        </w:rPr>
      </w:pPr>
      <w:r>
        <w:rPr>
          <w:rFonts w:ascii="Times New Roman" w:cs="Times New Roman" w:eastAsia="Times New Roman" w:hAnsi="Times New Roman"/>
          <w:sz w:val="18"/>
          <w:szCs w:val="18"/>
          <w:color w:val="auto"/>
        </w:rPr>
        <w:t>On May 12, 2020, the Company issued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to pay the cost of the additional capped call transactions in May 2020 described below.</w:t>
      </w:r>
    </w:p>
    <w:p>
      <w:pPr>
        <w:spacing w:after="0" w:line="14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5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Prior to March 15, 2026, the Convertible Notes are convertible only upon the occurrence of certain events:</w:t>
      </w:r>
    </w:p>
    <w:p>
      <w:pPr>
        <w:spacing w:after="0" w:line="225" w:lineRule="exact"/>
        <w:rPr>
          <w:sz w:val="20"/>
          <w:szCs w:val="20"/>
          <w:color w:val="auto"/>
        </w:rPr>
      </w:pPr>
    </w:p>
    <w:p>
      <w:pPr>
        <w:ind w:left="760" w:right="40" w:hanging="378"/>
        <w:spacing w:after="0" w:line="265"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36"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during the five-business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150"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if the Company calls any or all of the Convertible Notes for redemption, at any time prior to the close of business on the second scheduled trading day immediately preceding the redemption date; or</w:t>
      </w:r>
    </w:p>
    <w:p>
      <w:pPr>
        <w:spacing w:after="0" w:line="1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upon the occurrence of corporate events specified in the Indenture.</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80" w:firstLine="554"/>
        <w:spacing w:after="0" w:line="265" w:lineRule="auto"/>
        <w:rPr>
          <w:sz w:val="20"/>
          <w:szCs w:val="20"/>
          <w:color w:val="auto"/>
        </w:rPr>
      </w:pPr>
      <w:r>
        <w:rPr>
          <w:rFonts w:ascii="Times New Roman" w:cs="Times New Roman" w:eastAsia="Times New Roman" w:hAnsi="Times New Roman"/>
          <w:sz w:val="18"/>
          <w:szCs w:val="18"/>
          <w:color w:val="212529"/>
        </w:rPr>
        <w:t>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15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12529"/>
        </w:rPr>
        <w:t>Prior to September 20, 2023, the Company could not redeem the Convertible Notes. From and 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The Company has not called for redemption or redeemed any of the Convertible Notes as of December 31, 2023.</w:t>
      </w:r>
    </w:p>
    <w:p>
      <w:pPr>
        <w:spacing w:after="0" w:line="145"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212529"/>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3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12529"/>
        </w:rPr>
        <w:t>The Company used an effective interest rate of 10.5% to determine the liability component of the 2019 and 2020 Convertible Notes. This resulted in the recognition of $145.1 million and $204.5 million as the liability component of the 2019 and 2020 Convertible Notes, respectively, and the recognition of the residual amount of $74.9 million and $95.5 million as the debt discount with a corresponding increase to additional paid in capital for the equity component of the 2019 and 2020 Convertible Notes, respectively. The 2020 aggregate debt issuance costs of $6.0 million were allocated to the liability and equity components in the amounts of $3.7 million and $2.3 million, respectively. The 2019 Convertible Notes aggregate debt issuance costs of $7.1 million were allocated to the liability and equity components in the amounts of $4.7 million and $2.4 million, respectively.</w:t>
      </w:r>
    </w:p>
    <w:p>
      <w:pPr>
        <w:spacing w:after="0" w:line="1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12529"/>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the Company. In accordance with ASC Topic 470-20, “Debt – Debt with Conversion and Other Options,” (“ASC 470-20”) the Company accounted for the exchange as an induced conversion based on the short period of time the conversion offer was open and the substantive conversion feature offer. The Company accounted for the conversion of the debt as an inducement by expensing the fair value of the shares that were issued in excess of the original terms of the Convertible Notes.</w:t>
      </w:r>
    </w:p>
    <w:p>
      <w:pPr>
        <w:spacing w:after="0" w:line="6"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212529"/>
        </w:rPr>
        <w:t>As a result of the January 2021 exchange transactions, the Company reduced net debt outstanding and increased net equity on the consolidated balance sheet by $122.8 million, consisting of the par value of the 2019 Convertible Notes exchanged of $126.1 million less the $3.3 million of remaining debt issuance costs associated with the exchanged notes. The Company also increased shares outstanding by 3,906,869 shares consisting of 3,196,172 shares issued at the initial conversion rate in the Indenture of 25.3405 plus an additional 710,697 shares. Additionally, the Company issued 69,491 shares as settlement of debt issuance costs paid to the Company’s financial advisor in connection with the exchange transaction. For the three months ended March 31, 2021, the Company recorded a loss on conversion of debt of $39.5 million comprised of $36.4 million related to the value of the shares issued in excess of the original conversion terms at the fair market value and $3.1 million for the value of the 69,491 shares issued in payment of issuance costs at their then fair value. Upon exchange of the 2019 Convertible Notes, the holders forfeited accrued interest through the date of the exchange of $1.7 million, which the Company charged to interest expense and to equity.</w:t>
      </w:r>
    </w:p>
    <w:p>
      <w:pPr>
        <w:spacing w:after="0" w:line="19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212529"/>
        </w:rPr>
        <w:t>As a result of the July 2021 exchange transactions, the Company reduced net debt outstanding and increased net equity on the consolidated balance sheet by $197.0 million, consisting of the par value of the Convertible Notes exchanged of $201.1 million less the $4.1 million of remaining debt issuance costs associated with the exchanged notes. The Company also increased shares outstanding by 5,992,217 shares consisting of 5,097,166 shares issued at the initial conversion rate in the Indenture of 25.3405 plus an additional 895,051 shares. Additionally, the Company issued 78,419 shares as settlement of issuance costs paid to the Company’s financial advisor in connection with the exchange transaction. For the three months ended September 30, 2021, the Company recorded a loss on conversion of debt of $61.1 million comprised of $55.9 million related to the value of the shares issued in excess of the original conversion terms at the fair market value and $5.2 million for the value of the 78,419 shares issued in payment of issuance costs at their then fair value. Upon exchange of the Convertible Notes, the holders forfeited accrued interest through the date of the exchange of $2.5 million, which the Company charged to interest expense and to equity.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July 2022 exchange transactions, the Company reduced net debt outstanding and increased net equity on the consolidated balance sheet by $96.8 million, consisting of the par value of the Convertible Notes exchanged of $98.1 million less the $1.3 million of remaining debt issuance costs associated with the exchanged notes. The Company also increased shares outstanding by 3,027,018 shares consisting of 2,485,548 shares issued at the initial conversion rate in the Indenture of 25.3405 plus an additional 541,470 shares. Additionally, the Company issued 46,132 shares as settlement of issuance costs paid to the Company’s financial advisor in connection with the exchange transaction. The Company recorded a loss on conversion of debt of $32.9 million comprised of $30.4 million related to the value of the shares issued in excess of the original conversion terms at the fair market value and $2.5 million for the value of the 46,132 shares.</w:t>
      </w:r>
    </w:p>
    <w:p>
      <w:pPr>
        <w:spacing w:after="0" w:line="18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June 30, 2021, and as a result the Convertible Notes were convertible at the option of the holders until September 30, 2021. During this period, certain holders of the Convertible Notes converted approximately $0.7 million of aggregate principal amount of Convertible Notes into an aggregate of 18,775 shares, which were issued in October 2021.</w:t>
      </w:r>
    </w:p>
    <w:p>
      <w:pPr>
        <w:spacing w:after="0" w:line="177"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again triggered as of September 30, 2022, and as a result the Convertible Notes became convertible at the option of the holders until December 31, 2022. No Convertible Notes were converted during this period.</w:t>
      </w:r>
    </w:p>
    <w:p>
      <w:pPr>
        <w:spacing w:after="0" w:line="163"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are convertible at the option of the holders until March 31, 2024.</w:t>
      </w:r>
    </w:p>
    <w:p>
      <w:pPr>
        <w:spacing w:after="0" w:line="163"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and 2022, the Company held in treasury Convertible Notes in principal amount of $425.4 million which have not been cancelled.</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The outstanding balance of the Convertible Notes as of December 31, 2023 and 2022 consisted of the following (in thousands):</w:t>
      </w:r>
    </w:p>
    <w:p>
      <w:pPr>
        <w:spacing w:after="0" w:line="28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16510</wp:posOffset>
            </wp:positionV>
            <wp:extent cx="23202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7240" w:type="dxa"/>
            <w:vAlign w:val="bottom"/>
            <w:gridSpan w:val="2"/>
          </w:tcPr>
          <w:p>
            <w:pPr>
              <w:ind w:left="68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7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80" w:type="dxa"/>
            <w:vAlign w:val="bottom"/>
            <w:shd w:val="clear" w:color="auto" w:fill="CFF0FC"/>
          </w:tcPr>
          <w:p>
            <w:pPr>
              <w:spacing w:after="0"/>
              <w:rPr>
                <w:sz w:val="21"/>
                <w:szCs w:val="21"/>
                <w:color w:val="auto"/>
              </w:rPr>
            </w:pPr>
          </w:p>
        </w:tc>
      </w:tr>
      <w:tr>
        <w:trPr>
          <w:trHeight w:val="243"/>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(1,161 )</w:t>
            </w:r>
          </w:p>
        </w:tc>
      </w:tr>
      <w:tr>
        <w:trPr>
          <w:trHeight w:val="276"/>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10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24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-24765</wp:posOffset>
            </wp:positionV>
            <wp:extent cx="596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596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-24765</wp:posOffset>
            </wp:positionV>
            <wp:extent cx="596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-7620</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twelve months ended December 31, 2023, 2022 and 2021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5880" w:type="dxa"/>
            <w:vAlign w:val="bottom"/>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0"/>
                <w:szCs w:val="20"/>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FF0FC"/>
          </w:tcPr>
          <w:p>
            <w:pPr>
              <w:spacing w:after="0"/>
              <w:rPr>
                <w:sz w:val="20"/>
                <w:szCs w:val="20"/>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00" w:type="dxa"/>
            <w:vAlign w:val="bottom"/>
          </w:tcPr>
          <w:p>
            <w:pPr>
              <w:spacing w:after="0"/>
              <w:rPr>
                <w:sz w:val="21"/>
                <w:szCs w:val="21"/>
                <w:color w:val="auto"/>
              </w:rPr>
            </w:pPr>
          </w:p>
        </w:tc>
      </w:tr>
      <w:tr>
        <w:trPr>
          <w:trHeight w:val="276"/>
        </w:trPr>
        <w:tc>
          <w:tcPr>
            <w:tcW w:w="5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-680085</wp:posOffset>
            </wp:positionV>
            <wp:extent cx="93980" cy="1968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-680085</wp:posOffset>
            </wp:positionV>
            <wp:extent cx="93980" cy="1968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-680085</wp:posOffset>
            </wp:positionV>
            <wp:extent cx="93980" cy="1968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Future minimum payments on Convertible Notes payable as of December 31, 2023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0" w:type="dxa"/>
            <w:vAlign w:val="bottom"/>
          </w:tcPr>
          <w:p>
            <w:pPr>
              <w:spacing w:after="0"/>
              <w:rPr>
                <w:sz w:val="21"/>
                <w:szCs w:val="21"/>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80" w:type="dxa"/>
            <w:vAlign w:val="bottom"/>
            <w:shd w:val="clear" w:color="auto" w:fill="CFF0FC"/>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96,225</w:t>
            </w:r>
          </w:p>
        </w:tc>
        <w:tc>
          <w:tcPr>
            <w:tcW w:w="80" w:type="dxa"/>
            <w:vAlign w:val="bottom"/>
            <w:tcBorders>
              <w:bottom w:val="single" w:sz="8" w:color="CFF0FC"/>
            </w:tcBorders>
            <w:shd w:val="clear" w:color="auto" w:fill="CFF0FC"/>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3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102,797</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1"/>
                <w:szCs w:val="21"/>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8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(8,900 )</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38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1"/>
                <w:szCs w:val="21"/>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8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38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860" w:type="dxa"/>
            <w:vAlign w:val="bottom"/>
            <w:tcBorders>
              <w:top w:val="single" w:sz="8" w:color="CFF0FC"/>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80" w:type="dxa"/>
            <w:vAlign w:val="bottom"/>
            <w:tcBorders>
              <w:top w:val="single" w:sz="8" w:color="CFF0FC"/>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6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139</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9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6478270</wp:posOffset>
            </wp:positionH>
            <wp:positionV relativeFrom="paragraph">
              <wp:posOffset>-1643380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-1018540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88"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212529"/>
        </w:rPr>
        <w:t>On September 11, 2019, and May 6, 2020 concurrently with the pricing of the 2019 Convertible Notes and the 2020 Convertible Notes,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76"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212529"/>
        </w:rPr>
        <w:t xml:space="preserve">Pursuant to ASC 815-40 </w:t>
      </w:r>
      <w:r>
        <w:rPr>
          <w:rFonts w:ascii="Times New Roman" w:cs="Times New Roman" w:eastAsia="Times New Roman" w:hAnsi="Times New Roman"/>
          <w:sz w:val="18"/>
          <w:szCs w:val="18"/>
          <w:i w:val="1"/>
          <w:iCs w:val="1"/>
          <w:color w:val="212529"/>
        </w:rPr>
        <w:t>Derivatives and Hedging</w:t>
      </w:r>
      <w:r>
        <w:rPr>
          <w:rFonts w:ascii="Times New Roman" w:cs="Times New Roman" w:eastAsia="Times New Roman" w:hAnsi="Times New Roman"/>
          <w:sz w:val="18"/>
          <w:szCs w:val="18"/>
          <w:color w:val="212529"/>
        </w:rPr>
        <w:t>, the Company determined that the capped call transactions should be classified as equity instruments and the capped call premium paid in the amount of $28.4 million and $43.1 million were recorded as reductions to additional paid-in capital at December 31, 2021 for the 2019 and 2020 Convertible Notes,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2" w:lineRule="exact"/>
        <w:rPr>
          <w:sz w:val="20"/>
          <w:szCs w:val="20"/>
          <w:color w:val="auto"/>
        </w:rPr>
      </w:pPr>
    </w:p>
    <w:p>
      <w:pPr>
        <w:ind w:right="560" w:firstLine="554"/>
        <w:spacing w:after="0" w:line="281" w:lineRule="auto"/>
        <w:rPr>
          <w:sz w:val="20"/>
          <w:szCs w:val="20"/>
          <w:color w:val="auto"/>
        </w:rPr>
      </w:pPr>
      <w:r>
        <w:rPr>
          <w:rFonts w:ascii="Times New Roman" w:cs="Times New Roman" w:eastAsia="Times New Roman" w:hAnsi="Times New Roman"/>
          <w:sz w:val="18"/>
          <w:szCs w:val="18"/>
          <w:color w:val="auto"/>
        </w:rPr>
        <w:t>The underlying assets of the Company’s leases primarily relate to office space leases, but also include some equipment leases. The Company determines if an arrangement qualifies as a lease at its inception.</w:t>
      </w:r>
    </w:p>
    <w:p>
      <w:pPr>
        <w:spacing w:after="0" w:line="12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 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w:t>
      </w:r>
    </w:p>
    <w:p>
      <w:pPr>
        <w:spacing w:after="0" w:line="14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 enters into lease agreements with terms generally ranging from 2-7 years. Some of the Company’s lease agreements include Company options to extend the lease on a month-to-month basis or for set periods for up to five years. Many leases also include options to terminate the leases within one year or per other contractual terms. Renewal and termination options were generally not included in the lease term for the Company’s existing operating leases.</w:t>
      </w:r>
    </w:p>
    <w:p>
      <w:pPr>
        <w:spacing w:after="0" w:line="155"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and 2022, all leases were classified as operating lease assets and liabilities. Additional information related to the operating lease assets and liabilities is as follows (in thousands):</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1"/>
        </w:trPr>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r>
      <w:tr>
        <w:trPr>
          <w:trHeight w:val="23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16,745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tcPr>
          <w:p>
            <w:pPr>
              <w:spacing w:after="0"/>
              <w:rPr>
                <w:sz w:val="20"/>
                <w:szCs w:val="20"/>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17,895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r>
      <w:tr>
        <w:trPr>
          <w:trHeight w:val="211"/>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used to measure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lease liabilities</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7.20 %</w:t>
            </w: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7.26 %</w:t>
            </w:r>
          </w:p>
        </w:tc>
      </w:tr>
    </w:tbl>
    <w:p>
      <w:pPr>
        <w:spacing w:after="0" w:line="386"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2023, 2022, and 2021, the total lease cost for operating lease expense was approximately $7.0 million, $6.2 million, and $5.6 million, respectively.</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years ended December 31, 2023, 2022 and 2021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11"/>
        </w:trPr>
        <w:tc>
          <w:tcPr>
            <w:tcW w:w="1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53"/>
        </w:trPr>
        <w:tc>
          <w:tcPr>
            <w:tcW w:w="170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2"/>
        </w:trPr>
        <w:tc>
          <w:tcPr>
            <w:tcW w:w="17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2023 are as follows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r>
      <w:tr>
        <w:trPr>
          <w:trHeight w:val="24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9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r>
      <w:tr>
        <w:trPr>
          <w:trHeight w:val="247"/>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9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9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19,789</w:t>
            </w:r>
          </w:p>
        </w:tc>
      </w:tr>
      <w:tr>
        <w:trPr>
          <w:trHeight w:val="251"/>
        </w:trPr>
        <w:tc>
          <w:tcPr>
            <w:tcW w:w="4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19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(1,894 )</w:t>
            </w:r>
          </w:p>
        </w:tc>
      </w:tr>
      <w:tr>
        <w:trPr>
          <w:trHeight w:val="23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17,895</w:t>
            </w:r>
          </w:p>
        </w:tc>
      </w:tr>
      <w:tr>
        <w:trPr>
          <w:trHeight w:val="20"/>
        </w:trPr>
        <w:tc>
          <w:tcPr>
            <w:tcW w:w="4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Comprehensive Income and Accumulated Other Comprehensive Income</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income/(loss), by component for the years ended December 31, 2023 and 2022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06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from Pension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3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(2,521 )</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0" w:type="dxa"/>
            <w:vAlign w:val="bottom"/>
          </w:tcPr>
          <w:p>
            <w:pPr>
              <w:spacing w:after="0"/>
              <w:rPr>
                <w:sz w:val="1"/>
                <w:szCs w:val="1"/>
                <w:color w:val="auto"/>
              </w:rPr>
            </w:pPr>
          </w:p>
        </w:tc>
      </w:tr>
      <w:tr>
        <w:trPr>
          <w:trHeight w:val="243"/>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(2,618 )</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(2,667 )</w:t>
            </w:r>
          </w:p>
        </w:tc>
        <w:tc>
          <w:tcPr>
            <w:tcW w:w="0" w:type="dxa"/>
            <w:vAlign w:val="bottom"/>
          </w:tcPr>
          <w:p>
            <w:pPr>
              <w:spacing w:after="0"/>
              <w:rPr>
                <w:sz w:val="1"/>
                <w:szCs w:val="1"/>
                <w:color w:val="auto"/>
              </w:rPr>
            </w:pPr>
          </w:p>
        </w:tc>
      </w:tr>
      <w:tr>
        <w:trPr>
          <w:trHeight w:val="276"/>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(2,570 )</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(3,542 )</w:t>
            </w:r>
          </w:p>
        </w:tc>
        <w:tc>
          <w:tcPr>
            <w:tcW w:w="0" w:type="dxa"/>
            <w:vAlign w:val="bottom"/>
          </w:tcPr>
          <w:p>
            <w:pPr>
              <w:spacing w:after="0"/>
              <w:rPr>
                <w:sz w:val="1"/>
                <w:szCs w:val="1"/>
                <w:color w:val="auto"/>
              </w:rPr>
            </w:pPr>
          </w:p>
        </w:tc>
      </w:tr>
      <w:tr>
        <w:trPr>
          <w:trHeight w:val="603"/>
        </w:trPr>
        <w:tc>
          <w:tcPr>
            <w:tcW w:w="48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gridSpan w:val="2"/>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06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06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from Pension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3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(2,091 )</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(2,090 )</w:t>
            </w:r>
          </w:p>
        </w:tc>
        <w:tc>
          <w:tcPr>
            <w:tcW w:w="0" w:type="dxa"/>
            <w:vAlign w:val="bottom"/>
          </w:tcPr>
          <w:p>
            <w:pPr>
              <w:spacing w:after="0"/>
              <w:rPr>
                <w:sz w:val="1"/>
                <w:szCs w:val="1"/>
                <w:color w:val="auto"/>
              </w:rPr>
            </w:pPr>
          </w:p>
        </w:tc>
      </w:tr>
      <w:tr>
        <w:trPr>
          <w:trHeight w:val="247"/>
        </w:trPr>
        <w:tc>
          <w:tcPr>
            <w:tcW w:w="4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-1326515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-1309370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-1326515</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-1309370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-1326515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-1309370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-187960</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-187960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prioritize valuation inputs based upon the observable nature of those inputs as follows:</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17" w:lineRule="exact"/>
        <w:rPr>
          <w:sz w:val="20"/>
          <w:szCs w:val="20"/>
          <w:color w:val="auto"/>
        </w:rPr>
      </w:pPr>
    </w:p>
    <w:p>
      <w:pPr>
        <w:ind w:right="140" w:firstLine="578"/>
        <w:spacing w:after="0" w:line="281"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63"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originally at amortized cost or fair value and not re-measured on a recurring basis (in thousands):</w:t>
      </w:r>
    </w:p>
    <w:p>
      <w:pPr>
        <w:spacing w:after="0" w:line="2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8" w:right="5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3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Type of Instrument</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43"/>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276,391</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276,391</w:t>
            </w:r>
          </w:p>
        </w:tc>
      </w:tr>
      <w:tr>
        <w:trPr>
          <w:trHeight w:val="276"/>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276,391</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276,391</w:t>
            </w:r>
          </w:p>
        </w:tc>
      </w:tr>
      <w:tr>
        <w:trPr>
          <w:trHeight w:val="452"/>
        </w:trPr>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Type of Instrument</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43"/>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527,728</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527,728</w:t>
            </w:r>
          </w:p>
        </w:tc>
      </w:tr>
      <w:tr>
        <w:trPr>
          <w:trHeight w:val="276"/>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527,728</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527,728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-992505</wp:posOffset>
            </wp:positionV>
            <wp:extent cx="1028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-975360</wp:posOffset>
            </wp:positionV>
            <wp:extent cx="1028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-992505</wp:posOffset>
            </wp:positionV>
            <wp:extent cx="939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-975360</wp:posOffset>
            </wp:positionV>
            <wp:extent cx="939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-992505</wp:posOffset>
            </wp:positionV>
            <wp:extent cx="939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-975360</wp:posOffset>
            </wp:positionV>
            <wp:extent cx="939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-24765</wp:posOffset>
            </wp:positionV>
            <wp:extent cx="1028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-7620</wp:posOffset>
            </wp:positionV>
            <wp:extent cx="1028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-24765</wp:posOffset>
            </wp:positionV>
            <wp:extent cx="939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939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939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939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Convertible Notes and development liability are financial instruments that are reported in the consolidated financial statements at historical cost. The Convertible Notes are Level 1 within the fair value level hierarchy as of December 31, 2023 and December 31, 2022. The fair value of the Convertible Notes was $140.8 million as of December 31, 2023 and $143.9 million as of December 31, 2022. The Convertible Notes accrue a semi-annual coupon at an annual rate of 3.5%, which was included in accrued expenses in the consolidated balance sheets as of December 31, 2023 and December 31, 2022.</w:t>
      </w:r>
    </w:p>
    <w:p>
      <w:pPr>
        <w:spacing w:after="0" w:line="182" w:lineRule="exact"/>
        <w:rPr>
          <w:sz w:val="20"/>
          <w:szCs w:val="20"/>
          <w:color w:val="auto"/>
        </w:rPr>
      </w:pPr>
    </w:p>
    <w:p>
      <w:pPr>
        <w:ind w:right="200" w:firstLine="554"/>
        <w:spacing w:after="0" w:line="265" w:lineRule="auto"/>
        <w:rPr>
          <w:sz w:val="20"/>
          <w:szCs w:val="20"/>
          <w:color w:val="auto"/>
        </w:rPr>
      </w:pPr>
      <w:r>
        <w:rPr>
          <w:rFonts w:ascii="Times New Roman" w:cs="Times New Roman" w:eastAsia="Times New Roman" w:hAnsi="Times New Roman"/>
          <w:sz w:val="18"/>
          <w:szCs w:val="18"/>
          <w:color w:val="auto"/>
        </w:rPr>
        <w:t>The fair value of the development liability was $306.9 million and $315.8 million as of December 31, 2023 and December 31, 2022, respectively. The development liability is Level 2 within the fair value hierarchy based on the discounting of fixed cash flows using an observed bond yield for borrowers with similar credit rating.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License and Collaboration Agreements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188"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October 2020, the Company and its subsidiaries Apellis International GmbH (f/k/a Apellis Switzerland GmbH) and APL DEL Holdings, LLC entered into a Collaboration and License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55"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22"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12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have agreed to collaborate to develop Licensed Products for the treatment of PNH, CAD, HSCT-TMA, C3G, IC-MPGN and ALS, or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60"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have formed several governance committees to oversee the development and manufacture, and to review and discuss the commercialization, of Licensed Products. The Company and SOBI have discontinued to development programs in ALS and CAD.</w:t>
      </w:r>
    </w:p>
    <w:p>
      <w:pPr>
        <w:spacing w:after="0" w:line="14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to be negotiated by the parties. The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of which the Company received $50.0 million in April 2022 for the achievement of a regulatory development milestone in Europe and $5.0 million in October 2023 for the achievement of a regulatory development milestone in Japan. Sobi also agreed to reimburse the Company for up to $80.0 million in development costs, of which the Company received $25.0 million in January 2021, $20.0 million in January 2022 and $20.0 million in January 2023. In January 2024, the Company waived the remaining reimbursement payment of $15.0 million in connection with the to discontinue the CAD program. The Company is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The Company received $10.0 million in royalties from Sobi during 2023. Under the Sobi collaboration agreement, the Company remains responsible for its license fee obligations (including royalty obligations) to the Trustees of the University of Pennsylvania (“Penn”), as a licensor of the Company and for its payment obligations to SFJ.</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Sobi Accounting Analysis</w:t>
      </w:r>
    </w:p>
    <w:p>
      <w:pPr>
        <w:spacing w:after="0" w:line="202" w:lineRule="exact"/>
        <w:rPr>
          <w:sz w:val="20"/>
          <w:szCs w:val="20"/>
          <w:color w:val="auto"/>
        </w:rPr>
      </w:pPr>
    </w:p>
    <w:p>
      <w:pPr>
        <w:ind w:right="40" w:firstLine="452"/>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agreement is within the scope of ASC 808 as a contractual arrangement that involves a joint operating activity whereby both parties are (i) active participants in the activity and (ii) exposed to certain significant risks and rewards dependent on the commercial success of the activity. ASC Topic 808 does not address measurement or recognition matters but allows for analogizing to ASC 606. Pursuant to ASC 606, the Company performed the following five steps: (i) identified the contract(s) with a customer; (ii) identified the performance obligations in the contract; (iii) determined the transaction price; (iv) allocated the transaction price to the performance obligations in the contract; and (v) recognized revenue when (or as) the entity satisfies a performance obligation.</w:t>
      </w:r>
    </w:p>
    <w:p>
      <w:pPr>
        <w:spacing w:after="0" w:line="145" w:lineRule="exact"/>
        <w:rPr>
          <w:sz w:val="20"/>
          <w:szCs w:val="20"/>
          <w:color w:val="auto"/>
        </w:rPr>
      </w:pPr>
    </w:p>
    <w:p>
      <w:pPr>
        <w:ind w:right="20" w:firstLine="452"/>
        <w:spacing w:after="0" w:line="258" w:lineRule="auto"/>
        <w:rPr>
          <w:sz w:val="20"/>
          <w:szCs w:val="20"/>
          <w:color w:val="auto"/>
        </w:rPr>
      </w:pPr>
      <w:r>
        <w:rPr>
          <w:rFonts w:ascii="Times New Roman" w:cs="Times New Roman" w:eastAsia="Times New Roman" w:hAnsi="Times New Roman"/>
          <w:sz w:val="18"/>
          <w:szCs w:val="18"/>
          <w:color w:val="auto"/>
        </w:rPr>
        <w:t>The Company identified the following material distinct promises under the Sobi Agreement: (1) licenses to develop and commercialize pegcetacoplan or, Licenses to IP, and (2) performance of research and development services. The Company determined the promises to be distinct because Sobi can benefit from each of the license and the development services on their own or with readily available services. The Company could have provided the license without any development services and Sobi would have been able to benefit from it by obtaining development services from another provider as the Licensed Products are at a more mature stage in their life cycle.</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Under the agreement, Sobi agreed to pay the Company</w:t>
      </w:r>
    </w:p>
    <w:p>
      <w:pPr>
        <w:spacing w:after="0" w:line="27" w:lineRule="exact"/>
        <w:rPr>
          <w:sz w:val="20"/>
          <w:szCs w:val="20"/>
          <w:color w:val="auto"/>
        </w:rPr>
      </w:pPr>
    </w:p>
    <w:p>
      <w:pPr>
        <w:ind w:left="1280" w:hanging="757"/>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amount of $250.0 million in an upfront payment in November 2020;</w:t>
      </w:r>
    </w:p>
    <w:p>
      <w:pPr>
        <w:spacing w:after="0" w:line="8" w:lineRule="exact"/>
        <w:rPr>
          <w:rFonts w:ascii="Times New Roman" w:cs="Times New Roman" w:eastAsia="Times New Roman" w:hAnsi="Times New Roman"/>
          <w:sz w:val="18"/>
          <w:szCs w:val="18"/>
          <w:color w:val="auto"/>
        </w:rPr>
      </w:pPr>
    </w:p>
    <w:p>
      <w:pPr>
        <w:ind w:left="1280" w:right="320" w:hanging="757"/>
        <w:spacing w:after="0" w:line="250"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amount of an additional $80.0 million in development reimbursements, payable yearly in four tranches in amounts determined based upon actual expenses incurred by the Company;</w:t>
      </w:r>
    </w:p>
    <w:p>
      <w:pPr>
        <w:ind w:left="1280" w:hanging="757"/>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aggregate of $915.0 million upon the achievement of specified one-time regulatory and commercial milestone events; and</w:t>
      </w:r>
    </w:p>
    <w:p>
      <w:pPr>
        <w:spacing w:after="0" w:line="8" w:lineRule="exact"/>
        <w:rPr>
          <w:rFonts w:ascii="Times New Roman" w:cs="Times New Roman" w:eastAsia="Times New Roman" w:hAnsi="Times New Roman"/>
          <w:sz w:val="18"/>
          <w:szCs w:val="18"/>
          <w:color w:val="auto"/>
        </w:rPr>
      </w:pPr>
    </w:p>
    <w:p>
      <w:pPr>
        <w:ind w:left="1280" w:right="40" w:hanging="757"/>
        <w:spacing w:after="0" w:line="260"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double-digit royalties, ranging from high teens to high twenties, on sales of Licensed Products outside of the United States, subject to customary deductions and third-party payment obligations.</w:t>
      </w:r>
    </w:p>
    <w:p>
      <w:pPr>
        <w:spacing w:after="0" w:line="153"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At contract inception, the $250.0 million non-refundable payment and the $80.0 million reimbursements were fixed proceeds. The Company evaluated whether Sobi is a customer for either of the distinct promises in the agreement. Under the Licenses to IP, the Company determined that Sobi is a customer as the know-how provided and the right granted by the Company to Sobi are outputs of the Company’s business activities for which the Company will receive consideration. With respect to research and development activity, management determined that there is no vendor relationship as performing research and development activities for others is not a part of the Company’s ongoing central operations. Based upon the evaluation of the relative fair values, the Company allocated the purchase price of $250.0 million and the related milestones and royalties to the license of IP and $80.0 million to performance of research and development activities.</w:t>
      </w:r>
    </w:p>
    <w:p>
      <w:pPr>
        <w:spacing w:after="0" w:line="146" w:lineRule="exact"/>
        <w:rPr>
          <w:sz w:val="20"/>
          <w:szCs w:val="20"/>
          <w:color w:val="auto"/>
        </w:rPr>
      </w:pPr>
    </w:p>
    <w:p>
      <w:pPr>
        <w:ind w:right="60" w:firstLine="469"/>
        <w:spacing w:after="0" w:line="272" w:lineRule="auto"/>
        <w:rPr>
          <w:sz w:val="20"/>
          <w:szCs w:val="20"/>
          <w:color w:val="auto"/>
        </w:rPr>
      </w:pPr>
      <w:r>
        <w:rPr>
          <w:rFonts w:ascii="Times New Roman" w:cs="Times New Roman" w:eastAsia="Times New Roman" w:hAnsi="Times New Roman"/>
          <w:sz w:val="17"/>
          <w:szCs w:val="17"/>
          <w:color w:val="auto"/>
        </w:rPr>
        <w:t>The milestone and royalty payments are subject to activities outside the control of the Company. Per ASC 606, the Company considers this to be a customer/ vendor relationship, therefore, the Company will include the regulatory milestone payments in the total transaction price when it is probable that a significant reversal of revenue would not occur in a future period. The Company will recognize commercial milestone and royalty revenue at the later of</w:t>
      </w:r>
    </w:p>
    <w:p>
      <w:pPr>
        <w:spacing w:after="0" w:line="1" w:lineRule="exact"/>
        <w:rPr>
          <w:sz w:val="20"/>
          <w:szCs w:val="20"/>
          <w:color w:val="auto"/>
        </w:rPr>
      </w:pPr>
    </w:p>
    <w:p>
      <w:pPr>
        <w:ind w:right="40" w:firstLine="8"/>
        <w:spacing w:after="0" w:line="253" w:lineRule="auto"/>
        <w:tabs>
          <w:tab w:leader="none" w:pos="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related sales occur or (ii) when the performance obligation to which the commercial milestone or royalty has been allocated has been satisfied. In case of commercial milestone or royalty payments, the Company will recognize revenue in the same period that the sales are completed for which the Company is contractually entitled to the milestone or percentage-based royalty payment. Management will periodically assess the elements of the contract and re-evaluate revenue recognition as necessary.</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40" w:firstLine="469"/>
        <w:spacing w:after="0" w:line="258" w:lineRule="auto"/>
        <w:rPr>
          <w:sz w:val="20"/>
          <w:szCs w:val="20"/>
          <w:color w:val="auto"/>
        </w:rPr>
      </w:pPr>
      <w:r>
        <w:rPr>
          <w:rFonts w:ascii="Times New Roman" w:cs="Times New Roman" w:eastAsia="Times New Roman" w:hAnsi="Times New Roman"/>
          <w:sz w:val="18"/>
          <w:szCs w:val="18"/>
          <w:color w:val="auto"/>
        </w:rPr>
        <w:t>Pursuant to ASC 606, during the year ended December 31, 2020, the Company has recognized the $250.0 million in revenue as this is the amount allocated to the license. The $80.0 million reimbursement for research and development activities does not constitute a customer/vendor relationship and thus is not in the scope of ASC 606. As ASC 808 does not include recognition guidance, the Company has established an accounting policy to recognize the payments under the reimbursement as a receivable on the balance sheet in an amount that is to be reimbursed based upon expense incurred by the Company, with a contra- research and development expense recognized in the statement of operations, over time as the expenses are incurred.</w:t>
      </w:r>
    </w:p>
    <w:p>
      <w:pPr>
        <w:spacing w:after="0" w:line="155"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Under the Sobi collaboration agreement, for the year ended December 31, 2023, the Company recognized $10.0 million of royalty revenue. For the year ended December 31, 2022, the Company recognized $3.0 million of royalty revenue. For the year ended December 31, 2023, the Company did not recognize any contra-research and development expense in the consolidated statement of operations related to the $80.0 million reimbursement commitment from Sobi. For the year ended December 31, 2022, the Company recognized $5.0 million for contra-research and development expense in the consolidated statement of operations related to the $80.0 million reimbursement commitment from Sobi.</w:t>
      </w:r>
    </w:p>
    <w:p>
      <w:pPr>
        <w:spacing w:after="0" w:line="141" w:lineRule="exact"/>
        <w:rPr>
          <w:sz w:val="20"/>
          <w:szCs w:val="20"/>
          <w:color w:val="auto"/>
        </w:rPr>
      </w:pPr>
    </w:p>
    <w:p>
      <w:pPr>
        <w:ind w:right="100" w:firstLine="469"/>
        <w:spacing w:after="0" w:line="260" w:lineRule="auto"/>
        <w:rPr>
          <w:sz w:val="20"/>
          <w:szCs w:val="20"/>
          <w:color w:val="auto"/>
        </w:rPr>
      </w:pPr>
      <w:r>
        <w:rPr>
          <w:rFonts w:ascii="Times New Roman" w:cs="Times New Roman" w:eastAsia="Times New Roman" w:hAnsi="Times New Roman"/>
          <w:sz w:val="18"/>
          <w:szCs w:val="18"/>
          <w:color w:val="auto"/>
        </w:rPr>
        <w:t>As of December 31, 2023, the Company recorded $15.0 million in current assets, which represents the receivable for contra-research and development expenses incurred but not yet reimbursed from Sobi. The total receivable balance as of December 31, 2023 was for contra-research and development expenses incurred but not yet reimbursed from Sobi. In January 2024, the Company waived the remaining reimbursement payment of $15.0 million in connection with the decision to discontinue the CAD program.</w:t>
      </w:r>
    </w:p>
    <w:p>
      <w:pPr>
        <w:spacing w:after="0" w:line="141" w:lineRule="exact"/>
        <w:rPr>
          <w:sz w:val="20"/>
          <w:szCs w:val="20"/>
          <w:color w:val="auto"/>
        </w:rPr>
      </w:pPr>
    </w:p>
    <w:p>
      <w:pPr>
        <w:ind w:right="20" w:firstLine="469"/>
        <w:spacing w:after="0" w:line="265" w:lineRule="auto"/>
        <w:rPr>
          <w:sz w:val="20"/>
          <w:szCs w:val="20"/>
          <w:color w:val="auto"/>
        </w:rPr>
      </w:pPr>
      <w:r>
        <w:rPr>
          <w:rFonts w:ascii="Times New Roman" w:cs="Times New Roman" w:eastAsia="Times New Roman" w:hAnsi="Times New Roman"/>
          <w:sz w:val="18"/>
          <w:szCs w:val="18"/>
          <w:color w:val="auto"/>
        </w:rPr>
        <w:t>As of December 31, 2022, the Company recorded a receivable of $35.0 million, with $20.0 million in other current assets and $15.0 million in other assets on the consolidated balance sheet. The total receivable balance as of December 31, 2022 is for contra-research and development expenses incurred but not yet reimbursed from Sobi. The Company received the $20.0 million recorded in other current assets in January 2023.</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w:t>
      </w:r>
    </w:p>
    <w:p>
      <w:pPr>
        <w:spacing w:after="0" w:line="229"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The Company is a party to a license agreement with the Trustees of the University of Pennsylvania (“Penn”) for an exclusive, worldwide license to specified patent rights. The Company is required to pay annual maintenance fees of $0.1 million until the first sale of a licensed product. The Company is also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186" w:lineRule="exact"/>
        <w:rPr>
          <w:sz w:val="20"/>
          <w:szCs w:val="20"/>
          <w:color w:val="auto"/>
        </w:rPr>
      </w:pPr>
    </w:p>
    <w:p>
      <w:pPr>
        <w:ind w:right="300" w:firstLine="469"/>
        <w:spacing w:after="0" w:line="265"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$2.0 million the Company paid in October 2023 and remaining of $3.0 million is accrued for as of December 31, 2023.</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the Company has incurred an aggregate royalty expense of $8.9 million on sales of SYFOVRE.</w:t>
      </w:r>
    </w:p>
    <w:p>
      <w:pPr>
        <w:spacing w:after="0" w:line="225" w:lineRule="exact"/>
        <w:rPr>
          <w:sz w:val="20"/>
          <w:szCs w:val="20"/>
          <w:color w:val="auto"/>
        </w:rPr>
      </w:pPr>
    </w:p>
    <w:p>
      <w:pPr>
        <w:ind w:right="140" w:firstLine="469"/>
        <w:spacing w:after="0" w:line="255" w:lineRule="auto"/>
        <w:rPr>
          <w:sz w:val="20"/>
          <w:szCs w:val="20"/>
          <w:color w:val="auto"/>
        </w:rPr>
      </w:pPr>
      <w:r>
        <w:rPr>
          <w:rFonts w:ascii="Times New Roman" w:cs="Times New Roman" w:eastAsia="Times New Roman" w:hAnsi="Times New Roman"/>
          <w:sz w:val="18"/>
          <w:szCs w:val="18"/>
          <w:color w:val="auto"/>
        </w:rPr>
        <w:t>In addition, the Company is also party to a license agreement with Penn for an exclusive, worldwide license to specified patent rights for the development and commercialization of products in fields of use, as defined therein. The Company is required to pay annual maintenance fees of $0.1 million until the first sale of a licensed product.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minimum quarterly royalty thresholds. In addition, the Company is obligated to pay a specified portion of income it receives from sublicensees.</w:t>
      </w:r>
    </w:p>
    <w:p>
      <w:pPr>
        <w:spacing w:after="0" w:line="187" w:lineRule="exact"/>
        <w:rPr>
          <w:sz w:val="20"/>
          <w:szCs w:val="20"/>
          <w:color w:val="auto"/>
        </w:rPr>
      </w:pPr>
    </w:p>
    <w:p>
      <w:pPr>
        <w:ind w:right="80" w:firstLine="469"/>
        <w:spacing w:after="0" w:line="255" w:lineRule="auto"/>
        <w:rPr>
          <w:sz w:val="20"/>
          <w:szCs w:val="20"/>
          <w:color w:val="auto"/>
        </w:rPr>
      </w:pPr>
      <w:r>
        <w:rPr>
          <w:rFonts w:ascii="Times New Roman" w:cs="Times New Roman" w:eastAsia="Times New Roman" w:hAnsi="Times New Roman"/>
          <w:sz w:val="18"/>
          <w:szCs w:val="18"/>
          <w:color w:val="auto"/>
        </w:rPr>
        <w:t>In January 2021, the Company paid $25.0 million for sublicense fee owed to Penn related to the Sobi Agreement and another licensing transaction. In August 2021, the Company paid $1.0 million to Penn upon the achievement of a development milestone, net of a credit for the annual license maintenance payment. In June 2022, the Company paid an additional $5.0 million to Penn upon the achievement of a development milestone. In January 2023, the Company paid $1.0 million to Penn upon the achievement of a sales milestone for EMPAVELI in 2022. As December 31, 2023, the Company recorded in accrued expenses $0.5 million for a sublicense fee owed to Penn related to Sobi obtaining regulatory approval in Japan. Additionally, as of December 31, 2023, the Company recorded in accrued expenses $1.5 million as a result of the achievement of a sales milestone for EMPAVELI and Aspaveli.</w:t>
      </w:r>
    </w:p>
    <w:p>
      <w:pPr>
        <w:spacing w:after="0" w:line="160" w:lineRule="exact"/>
        <w:rPr>
          <w:sz w:val="20"/>
          <w:szCs w:val="20"/>
          <w:color w:val="auto"/>
        </w:rPr>
      </w:pPr>
    </w:p>
    <w:p>
      <w:pPr>
        <w:jc w:val="center"/>
        <w:ind w:right="260"/>
        <w:spacing w:after="0" w:line="406" w:lineRule="auto"/>
        <w:rPr>
          <w:sz w:val="20"/>
          <w:szCs w:val="20"/>
          <w:color w:val="auto"/>
        </w:rPr>
      </w:pPr>
      <w:r>
        <w:rPr>
          <w:rFonts w:ascii="Times New Roman" w:cs="Times New Roman" w:eastAsia="Times New Roman" w:hAnsi="Times New Roman"/>
          <w:sz w:val="18"/>
          <w:szCs w:val="18"/>
          <w:color w:val="auto"/>
        </w:rPr>
        <w:t>As of December 31, 2023, the Company has incurred an aggregate royalty expense of $7.9 million on sales of EMPAVELI and Aspaveli.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Beam Research Collaboration</w:t>
      </w:r>
    </w:p>
    <w:p>
      <w:pPr>
        <w:spacing w:after="0" w:line="229"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In June 2021, the Company entered into an exclusive five-year research collaboration with Beam Therapeutics, Inc. (“Beam”) focused on the use of Beam’s proprietary base editing technology to discover new treatments for complement-driven diseases. The Company and Beam agreed to collaborate on up to six research programs focused on C3 and other complement targets in the eye, liver and brain. Under the terms of the collaboration agreement, Apellis is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collaboration agreement, Beam is prohibited from developing on its own or with a third party any base editing therapies associated with the items on the Target List but does not prevent Beam from licensing its intellectual property to a third-party for another purpose outside of the Target List. The Company will have exclusive rights to license each of the six programs and will assume responsibility for subsequent development and commercialization. Beam may elect to enter a 50-50 co-development and U.S. co-commercialization agreement with the Company with respect to any one program licensed under the collaboration and upon such election any license agreement in place at that time, would be terminated.</w:t>
      </w:r>
    </w:p>
    <w:p>
      <w:pPr>
        <w:spacing w:after="0" w:line="191" w:lineRule="exact"/>
        <w:rPr>
          <w:sz w:val="20"/>
          <w:szCs w:val="20"/>
          <w:color w:val="auto"/>
        </w:rPr>
      </w:pPr>
    </w:p>
    <w:p>
      <w:pPr>
        <w:ind w:right="160" w:firstLine="469"/>
        <w:spacing w:after="0" w:line="256" w:lineRule="auto"/>
        <w:rPr>
          <w:sz w:val="20"/>
          <w:szCs w:val="20"/>
          <w:color w:val="auto"/>
        </w:rPr>
      </w:pPr>
      <w:r>
        <w:rPr>
          <w:rFonts w:ascii="Times New Roman" w:cs="Times New Roman" w:eastAsia="Times New Roman" w:hAnsi="Times New Roman"/>
          <w:sz w:val="18"/>
          <w:szCs w:val="18"/>
          <w:color w:val="auto"/>
        </w:rPr>
        <w:t>As part of the Beam collaboration agreement, the Company agreed to pay a $50.0 million up-front, non-refundable payment to Beam, which the Company paid in July 2021. In June 2022, the Company paid $25.0 million, which was recorded as a cost of research collaboration expense for the year ended December 31, 2021, as it was considered probable of achievement. The Company and Beam are each responsible for their own costs during the research collaboration. If and after the opt-in license rights are exercised for each of the up to six programs, Beam will be eligible to receive development, regulatory and sales milestones from the Company, as well as royalty payments on sales. The Beam collaboration agreement has an initial term of five years and may be extended up to two years on a per year program-by-program basis.</w:t>
      </w:r>
    </w:p>
    <w:p>
      <w:pPr>
        <w:spacing w:after="0" w:line="186"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8"/>
          <w:szCs w:val="18"/>
          <w:color w:val="auto"/>
        </w:rPr>
        <w:t>The Company analyzed the research collaboration agreement pursuant to ASC 808 to assess whether the agreement involved joint operating activities performed by parties that are both active participants in the activities and exposed to significant risks and rewards dependent on the commercial success of such activities. Since each party is actively participating in this activity and exposed to significant risks and rewards related to the activity through each party’s costs will be accounted for under ASC 808.</w:t>
      </w:r>
    </w:p>
    <w:p>
      <w:pPr>
        <w:spacing w:after="0" w:line="182" w:lineRule="exact"/>
        <w:rPr>
          <w:sz w:val="20"/>
          <w:szCs w:val="20"/>
          <w:color w:val="auto"/>
        </w:rPr>
      </w:pPr>
    </w:p>
    <w:p>
      <w:pPr>
        <w:ind w:right="280" w:firstLine="794"/>
        <w:spacing w:after="0" w:line="265" w:lineRule="auto"/>
        <w:rPr>
          <w:sz w:val="20"/>
          <w:szCs w:val="20"/>
          <w:color w:val="auto"/>
        </w:rPr>
      </w:pPr>
      <w:r>
        <w:rPr>
          <w:rFonts w:ascii="Times New Roman" w:cs="Times New Roman" w:eastAsia="Times New Roman" w:hAnsi="Times New Roman"/>
          <w:sz w:val="18"/>
          <w:szCs w:val="18"/>
          <w:color w:val="auto"/>
        </w:rPr>
        <w:t>Since ASC 808 does not provide recognition guidance, the Company referred to the guidance under ASC 730 to arrangements involving payments by the Company. ASC 730 requires the Company to recognize research and developments costs as expense as incurred since the payment was made for the use of Beam’s intellectual property and research and development services and there is no alternative use.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Retirement Plans</w:t>
      </w:r>
    </w:p>
    <w:p>
      <w:pPr>
        <w:spacing w:after="0" w:line="18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July 2010, the Company adopted an employee profit-sharing plan (the “401(k) Plan”), qualified under Section 401(k) of the Internal Revenue Code (the “IRC”). All of the Company’s full-time employees who have attained the age of 21 are eligible to participate in the 401(k) Plan immediately upon employment. Pursuant to the 401(k) Plan, employees may elect to reduce their current compensation by up to the statutorily prescribed annual limit and have the amount of the reduction contributed to the 401(k) Plan. In 2023, 2022 and 2021, the Company recorded $5.7 million, $4.3 million, and $3.1 million respectively, for employer contributions made to the 401(k) Plan.</w:t>
      </w:r>
    </w:p>
    <w:p>
      <w:pPr>
        <w:spacing w:after="0" w:line="15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its Swiss subsidiary, Apellis International GmbH (f/k/a Apellis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w:t>
      </w:r>
    </w:p>
    <w:p>
      <w:pPr>
        <w:spacing w:after="0" w:line="145"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As of a December 31, 2023, the Swiss Plan had a funded status of $2.2 million, which resulted from fair value of plan assets of $16.2 million and projected benefit obligation of $18.4 million. The accumulated benefit obligation at December 31, 2023 was $2.6 million. The Company’s net periodic benefit cost for the year ended December 31, 2023 was $0.9 million. The contributions to the Swiss Plan for the year ended December 31, 2023 were not material.</w:t>
      </w:r>
    </w:p>
    <w:p>
      <w:pPr>
        <w:spacing w:after="0" w:line="14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a December 31, 2022, the Swiss Plan had a funded status of $18.0 thousand, which resulted from fair value of plan assets of $12.9 million and projected benefit obligation of $12.9 million. The accumulated benefit obligation at December 31, 2022 was $1.6</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64" w:lineRule="exact"/>
        <w:rPr>
          <w:sz w:val="20"/>
          <w:szCs w:val="20"/>
          <w:color w:val="auto"/>
        </w:rPr>
      </w:pPr>
    </w:p>
    <w:p>
      <w:pPr>
        <w:ind w:right="160" w:firstLine="45"/>
        <w:spacing w:after="0" w:line="281" w:lineRule="auto"/>
        <w:rPr>
          <w:sz w:val="20"/>
          <w:szCs w:val="20"/>
          <w:color w:val="auto"/>
        </w:rPr>
      </w:pPr>
      <w:r>
        <w:rPr>
          <w:rFonts w:ascii="Times New Roman" w:cs="Times New Roman" w:eastAsia="Times New Roman" w:hAnsi="Times New Roman"/>
          <w:sz w:val="18"/>
          <w:szCs w:val="18"/>
          <w:color w:val="auto"/>
        </w:rPr>
        <w:t>million. The Company’s net periodic benefit cost for the year ended December 31, 2022 was $0.6 million. The contributions to the Swiss Plan for the year ended December 31, 2022 were not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loss from continuing operations before provision for income taxes are as follows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4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r>
      <w:tr>
        <w:trPr>
          <w:trHeight w:val="23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(48,495 )</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(82,815 )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(314,673 )</w:t>
            </w:r>
          </w:p>
        </w:tc>
        <w:tc>
          <w:tcPr>
            <w:tcW w:w="20" w:type="dxa"/>
            <w:vAlign w:val="bottom"/>
          </w:tcPr>
          <w:p>
            <w:pPr>
              <w:spacing w:after="0"/>
              <w:rPr>
                <w:sz w:val="20"/>
                <w:szCs w:val="20"/>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(478,001 )</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(568,688 )</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(431,329 )</w:t>
            </w:r>
          </w:p>
        </w:tc>
        <w:tc>
          <w:tcPr>
            <w:tcW w:w="20" w:type="dxa"/>
            <w:vAlign w:val="bottom"/>
          </w:tcPr>
          <w:p>
            <w:pPr>
              <w:spacing w:after="0"/>
              <w:rPr>
                <w:sz w:val="21"/>
                <w:szCs w:val="21"/>
                <w:color w:val="auto"/>
              </w:rPr>
            </w:pPr>
          </w:p>
        </w:tc>
      </w:tr>
      <w:tr>
        <w:trPr>
          <w:trHeight w:val="27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(526,496 )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(651,503 )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(746,002 )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-24765</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768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income taxes for the years ended December 31, 2023, 2022, and 2021 are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98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458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9"/>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7"/>
        </w:trPr>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7"/>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r>
      <w:tr>
        <w:trPr>
          <w:trHeight w:val="238"/>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2,132</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-1120775</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-1120775</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between the U.S. federal statutory tax rate and the Company's effective tax rate is summarized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vMerge w:val="restart"/>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4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(110,564 )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(136,816 )</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21.0 %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(156,660 )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50,219</w:t>
            </w: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38,677</w:t>
            </w:r>
          </w:p>
        </w:tc>
        <w:tc>
          <w:tcPr>
            <w:tcW w:w="2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(13,438 )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(14,145 )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119,592</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94,668</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(14.5 )</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133,668</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(11,566 )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(19,966 )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(20,005 )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(26,881 )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state apportionment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128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conversion</w:t>
            </w:r>
          </w:p>
        </w:tc>
        <w:tc>
          <w:tcPr>
            <w:tcW w:w="1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and other</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(3,078 )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(731 )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income tax provision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-1574800</wp:posOffset>
            </wp:positionV>
            <wp:extent cx="7132320" cy="154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-187960</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-187960</wp:posOffset>
            </wp:positionV>
            <wp:extent cx="76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-187960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-187960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-187960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Company’s effective income tax rate for the year ended December 31, 2023 compared to the year ended December 31, 2022 increased primarily as a result of operations in state jurisdictions.</w:t>
      </w:r>
    </w:p>
    <w:p>
      <w:pPr>
        <w:spacing w:after="0" w:line="136"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Deferred income tax assets and liabilities are determined based upon temporary differences between the financial reporting and tax basis of assets and liabilities and are measured using the enacted tax rates and laws that will be in effect when the differences are expected to reverse.</w:t>
      </w:r>
    </w:p>
    <w:p>
      <w:pPr>
        <w:sectPr>
          <w:pgSz w:w="11900" w:h="16838" w:orient="portrait"/>
          <w:cols w:equalWidth="0" w:num="1">
            <w:col w:w="11300"/>
          </w:cols>
          <w:pgMar w:left="320" w:top="769" w:right="279" w:bottom="1440" w:gutter="0" w:footer="0" w:header="0"/>
        </w:sectPr>
      </w:pP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principal components of the Company’s deferred tax assets and liabilities (in thousands):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192,444</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31,712</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329,135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Orphan drug credits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79,374</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Accruals</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756,060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(2,672 )</w:t>
            </w: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481(a) adjustment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(2,672 )</w:t>
            </w:r>
          </w:p>
        </w:tc>
        <w:tc>
          <w:tcPr>
            <w:tcW w:w="3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 before allowance:</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753,388</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636,520</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(753,388 )</w:t>
            </w:r>
          </w:p>
        </w:tc>
        <w:tc>
          <w:tcPr>
            <w:tcW w:w="3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(636,520 )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-1463675</wp:posOffset>
            </wp:positionV>
            <wp:extent cx="514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-1463675</wp:posOffset>
            </wp:positionV>
            <wp:extent cx="4254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-513080</wp:posOffset>
            </wp:positionV>
            <wp:extent cx="514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-513080</wp:posOffset>
            </wp:positionV>
            <wp:extent cx="425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-187960</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Tax Cuts and Jobs Act (TCJA) requires taxpayers to capitalize and amortize research and development (R&amp;D) expenditures under section 174 for tax years beginning after December 31, 2021. This rule became effective for the Company on January 1, 2022 and resulted in the capitalization of R&amp;D costs of approximately $42.3 million and $47.6 million for tax year ending December 31, 2023 and 2022, respectively. The Company will amortize these costs for tax purposes over 5 years if the R&amp;D was performed in the U.S. and over 15 years if the R&amp;D was performed outside the U.S.</w:t>
      </w:r>
    </w:p>
    <w:p>
      <w:pPr>
        <w:spacing w:after="0" w:line="1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Topic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full valuation allowances against its domestic and foreign deferred tax assets on December 31, 2023, because management has determined that is it more likely than not that these assets will not be realized. The valuation allowance increased by $116.9 million from December 31, 2022 to December 31, 2023, primarily due to increases in operating losses and research and development tax credits.</w:t>
      </w:r>
    </w:p>
    <w:p>
      <w:pPr>
        <w:spacing w:after="0" w:line="14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December 31, 2023, the Company had approximately $494.1 million, $524.0 million and $1,663.3 million of federal, state and foreign net operating loss carryforward, respectively. On December 31, 2022, the Company had approximately $312.8 million, $395.4 million and $1,204.7 million of federal, state and foreign net operating loss carryforward, respectively. The Company also had federal and state research and development tax credit carryforwards $85.7 million and $20.2 million, respectively of as of December 31, 2023. Federal net operating loss carryforward in the amount of $449.8 million may be carried forward indefinitely. The remaining federal and state net operating loss, research and development tax credit carryforwards begin to expire in 2025. The Company’s foreign net operating loss carryforwards will begin to expire in 2027.</w:t>
      </w:r>
    </w:p>
    <w:p>
      <w:pPr>
        <w:spacing w:after="0" w:line="15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(“IRC”), the net operating loss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that it believes may have resulted in a change in control as defined by Sections 382 and 383 of the IRC.</w:t>
      </w:r>
    </w:p>
    <w:p>
      <w:pPr>
        <w:spacing w:after="0" w:line="187" w:lineRule="exact"/>
        <w:rPr>
          <w:sz w:val="20"/>
          <w:szCs w:val="20"/>
          <w:color w:val="auto"/>
        </w:rPr>
      </w:pPr>
    </w:p>
    <w:p>
      <w:pPr>
        <w:ind w:firstLine="554"/>
        <w:spacing w:after="0" w:line="265" w:lineRule="auto"/>
        <w:rPr>
          <w:sz w:val="20"/>
          <w:szCs w:val="20"/>
          <w:color w:val="auto"/>
        </w:rPr>
      </w:pPr>
      <w:r>
        <w:rPr>
          <w:rFonts w:ascii="Times New Roman" w:cs="Times New Roman" w:eastAsia="Times New Roman" w:hAnsi="Times New Roman"/>
          <w:sz w:val="18"/>
          <w:szCs w:val="18"/>
          <w:color w:val="auto"/>
        </w:rPr>
        <w:t>The Company does not have any unrecognized tax benefits during any periods presented and does not expect this to significantly change in the next twelve months. There were no interest and penalties recorded in the statement of operations during any period and no amounts accrued for interest and penalties on December 31, 2023 or 2022.</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as well as various state and foreign jurisdictions. Generally, the tax years 2020 through 2022 remain open and subject to examination by the major taxing jurisdictions to which the Company is subject. To the extent the Company has tax attribute carryforwards, the tax years in which the attribute was generated may still be adjusted upon examination by the Internal Revenue Service, or state or foreign tax authorities, to the extent utilized in a future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8"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and drug product, with Bachem Americas, Inc., under which the Company has agreed to purchase a significant portion of its requirements for the pegcetacoplan drug substance over the next five years and a commercial supply agreement with NOF Corporation, under which the Company has agreed to purchase activated polyethylene glycol derivative, or PEG, which is a component of pegcetacoplan. Under these agreements, as of December 31, 2023, the Company is obligated to pay up to an aggregate of $94.6 million to these vendors. In addition, the Company has other non-cancelable purchase agreements as of December 31, 2023, under which it is obligated to pay up to $16.1 million to vendors.</w:t>
      </w:r>
    </w:p>
    <w:p>
      <w:pPr>
        <w:spacing w:after="0" w:line="186"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41" w:lineRule="exact"/>
        <w:rPr>
          <w:sz w:val="20"/>
          <w:szCs w:val="20"/>
          <w:color w:val="auto"/>
        </w:rPr>
      </w:pPr>
    </w:p>
    <w:p>
      <w:pPr>
        <w:ind w:right="320" w:firstLine="509"/>
        <w:spacing w:after="0" w:line="314" w:lineRule="auto"/>
        <w:rPr>
          <w:sz w:val="20"/>
          <w:szCs w:val="20"/>
          <w:color w:val="auto"/>
        </w:rPr>
      </w:pPr>
      <w:r>
        <w:rPr>
          <w:rFonts w:ascii="Times New Roman" w:cs="Times New Roman" w:eastAsia="Times New Roman" w:hAnsi="Times New Roman"/>
          <w:sz w:val="17"/>
          <w:szCs w:val="17"/>
          <w:i w:val="1"/>
          <w:iCs w:val="1"/>
          <w:color w:val="auto"/>
        </w:rPr>
        <w:t>Legal</w:t>
      </w:r>
      <w:r>
        <w:rPr>
          <w:rFonts w:ascii="Times New Roman" w:cs="Times New Roman" w:eastAsia="Times New Roman" w:hAnsi="Times New Roman"/>
          <w:sz w:val="17"/>
          <w:szCs w:val="17"/>
          <w:color w:val="auto"/>
        </w:rPr>
        <w:t>—During the normal course of business, the Company may be a party to legal claims that may not be covered by insurance.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cannot predict the outcome of the litigation described in Item 3 with certainty. The Company intends to defend vigorously against this litigation.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 Incentive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7"/>
          <w:szCs w:val="17"/>
          <w:color w:val="auto"/>
        </w:rPr>
        <w:t>The Company’s Board of Directors adopted, and its stockholders approved, an equity incentive plan in 2010 (as amended, the “2010 Plan”). The Board of Directors and stockholders amended the 2010 Plan in August 2017 to increase the number of shares of common stock reserved for issuance thereunder to 6,188,466. The 2010 Plan allowed for the grant of incentive stock options and non-qualified stock options to purchase common stock for employees, directors and consultants under terms and conditions established by the Board of Directors. Incentive stock options and nonqualified stock options were granted at exercise prices that were no less than 100% of the estimated fair value per share of the common stock on the date of grant. If an individual owns capital stock representing more than 10% of the voting shares, the price of each share was at least 110% of the fair value on the date of grant. The Board of Directors determined the fair value of common stock with the assistance of a third-party specialist. Options expire 10 years from the issuance date. Following the adoption of the 2017 Stock Incentive Plan, the Company no longer grants stock options or other awards under the 2010 Plan.</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its stockholders approved, the 2017 Stock Incentive Plan (the “2017 Plan”), which became effective on November 8, 2017. The 2017 Plan provides for the grant of incentive stock options, non-statutory stock options, stock appreciation rights, awards of restricted stock, restricted stock units and other stock-based awards. The number of shares of common stock reserved for issuance under the 2017 plan is the sum of (i) 1,359,587 shares of common stock, plus (ii) an additional number of shares of common stock equal to the sum of (a) the number of shares of common stock reserved for issuance under the 2010 equity incentive plan that remained available for future issuance immediately prior to the effectiveness of the 2017 Plan, which was 299,568 shares, and (b) the number of shares of common stock subject to outstanding awards under the 2010 equity incentive plan upon effectiveness of the 2017 plan that expire, terminate or are otherwise surrendered, cancelled, forfeited or repurchased by us at their original issuance price pursuant to a contractual repurchase right plus (iii) an annual increase, to be added the first day of each fiscal year, beginning with the fiscal year ending December 31, 2018 and continuing until, and including, the fiscal year ending December 31, 2027, equal to the lowest of 4,219,409 shares of common stock, 4.0% of the number of shares of common stock outstanding on the first day of the fiscal year and an amount determined by the board of directors. In January 2024, the shares available for future issuance under the 2017 plan were increased by 4,219,409 shares pursuant to the annual increase described above. As of December 31, 2023, there were 6,497,120 shares available for future grants under the 2017 Plan.</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since 2019, the Company has granted equity awards as equity inducement awards material to entry into employment with the Company to certain newly hired employees outside of the Company’s existing plans in accordance with Nasdaq listing rule 5635(c)(4). In February 2020, the Board of Directors adopted the 2020 Inducement Stock Incentive Plan (the “2020 Plan”), which permitted the Company to grant equity awards to newly hired employees in accordance with Nasdaq listing rule 5635(c)(4). The aggregate number of shares reserved for issuance under the 2020 Plan was initially 750,000 shares. The Board of Directors amended the 2020 Plan to add 200,000 shares on January 1, 2024, which increased the total number of shares reserved for issuance to 1,950,000 shares as of January 1, 2024. As of December 31, 2023, there were 354,466 shares available for future grants under the 2020 Plan.</w:t>
      </w:r>
    </w:p>
    <w:p>
      <w:pPr>
        <w:spacing w:after="0" w:line="14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the Company’s stockholders approved the 2017 Employee Stock Purchase Plan (“ESPP”), which became effective upon the IPO and provides participating employees with the opportunity to purchase up to an aggregate of 468,823 shares of common stock. The number of shares of common stock reserved for issuance under the 2017 ESPP will automatically increase on the first day of each fiscal year, beginning with the fiscal year ending December 31, 2018 and continuing until, and including, the fiscal year ending December 31, 2027, equal to the lowest of (i) 937,646 shares of common stock, (ii) 1.0% of the number of shares of common stock outstanding on the first day of the fiscal year and (iii) an amount determined by the board of directors. The board of directors initiated the first offering under ESPP in October 2019.</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(in thousands):</w:t>
      </w:r>
    </w:p>
    <w:p>
      <w:pPr>
        <w:spacing w:after="0" w:line="232"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80" w:type="dxa"/>
            <w:vAlign w:val="bottom"/>
            <w:shd w:val="clear" w:color="auto" w:fill="CFF0FC"/>
          </w:tcPr>
          <w:p>
            <w:pPr>
              <w:spacing w:after="0"/>
              <w:rPr>
                <w:sz w:val="20"/>
                <w:szCs w:val="20"/>
                <w:color w:val="auto"/>
              </w:rPr>
            </w:pPr>
          </w:p>
        </w:tc>
      </w:tr>
      <w:tr>
        <w:trPr>
          <w:trHeight w:val="238"/>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under 2017</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0"/>
                <w:szCs w:val="20"/>
                <w:color w:val="auto"/>
              </w:rPr>
            </w:pPr>
          </w:p>
        </w:tc>
      </w:tr>
      <w:tr>
        <w:trPr>
          <w:trHeight w:val="247"/>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under 2020</w:t>
            </w:r>
          </w:p>
        </w:tc>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Stock Incentive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80" w:type="dxa"/>
            <w:vAlign w:val="bottom"/>
          </w:tcPr>
          <w:p>
            <w:pPr>
              <w:spacing w:after="0"/>
              <w:rPr>
                <w:sz w:val="20"/>
                <w:szCs w:val="20"/>
                <w:color w:val="auto"/>
              </w:rPr>
            </w:pPr>
          </w:p>
        </w:tc>
      </w:tr>
      <w:tr>
        <w:trPr>
          <w:trHeight w:val="20"/>
        </w:trPr>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-187960</wp:posOffset>
            </wp:positionV>
            <wp:extent cx="596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-187960</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share-based compensation expense related to the various plans during the years ended was as follows (in thousands):</w:t>
      </w:r>
    </w:p>
    <w:p>
      <w:pPr>
        <w:spacing w:after="0" w:line="232" w:lineRule="exact"/>
        <w:rPr>
          <w:sz w:val="20"/>
          <w:szCs w:val="20"/>
          <w:color w:val="auto"/>
        </w:rPr>
      </w:pPr>
    </w:p>
    <w:tbl>
      <w:tblPr>
        <w:tblLayout w:type="fixed"/>
        <w:tblInd w:w="158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45,644</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42,052</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30,586</w:t>
            </w:r>
          </w:p>
        </w:tc>
        <w:tc>
          <w:tcPr>
            <w:tcW w:w="60" w:type="dxa"/>
            <w:vAlign w:val="bottom"/>
            <w:shd w:val="clear" w:color="auto" w:fill="CFF0FC"/>
          </w:tcPr>
          <w:p>
            <w:pPr>
              <w:spacing w:after="0"/>
              <w:rPr>
                <w:sz w:val="20"/>
                <w:szCs w:val="20"/>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60,301</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49,033</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60" w:type="dxa"/>
            <w:vAlign w:val="bottom"/>
          </w:tcPr>
          <w:p>
            <w:pPr>
              <w:spacing w:after="0"/>
              <w:rPr>
                <w:sz w:val="21"/>
                <w:szCs w:val="21"/>
                <w:color w:val="auto"/>
              </w:rPr>
            </w:pPr>
          </w:p>
        </w:tc>
      </w:tr>
      <w:tr>
        <w:trPr>
          <w:trHeight w:val="276"/>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91,085</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-24765</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5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425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4254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Options granted generally vest over 48 months. Options granted to employees on or after December 5, 2013 generally 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of (i) 25% at the one-year anniversary and (ii) in either 36 equal monthly or 12 equal quarterly installments beginning in the thirteenth month after the initial vesting commencement date (as defined) subject to the employee’s continuous service with the Company. Options granted before December 5, 2013 vest over four years in equal annual installments of 25% at each anniversary of the grant date.</w:t>
      </w:r>
    </w:p>
    <w:p>
      <w:pPr>
        <w:spacing w:after="0" w:line="14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Under the Executive Separation Benefits and Retention Plan and by resolutions adopted by the Compensation Committee in October 2019, the stock options granted to the Company’s executives and employees will become fully vested upon the occurrence of a change in control, as defined in the Executive Separation Benefits and Retention Plan, if such executive or employee is terminated without cause or resigns for good reason within 12 months after such change in control.</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2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4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1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12,295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26.31</w:t>
            </w:r>
          </w:p>
        </w:tc>
        <w:tc>
          <w:tcPr>
            <w:tcW w:w="9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317,031</w:t>
            </w:r>
          </w:p>
        </w:tc>
        <w:tc>
          <w:tcPr>
            <w:tcW w:w="0" w:type="dxa"/>
            <w:vAlign w:val="bottom"/>
          </w:tcPr>
          <w:p>
            <w:pPr>
              <w:spacing w:after="0"/>
              <w:rPr>
                <w:sz w:val="1"/>
                <w:szCs w:val="1"/>
                <w:color w:val="auto"/>
              </w:rPr>
            </w:pPr>
          </w:p>
        </w:tc>
      </w:tr>
      <w:tr>
        <w:trPr>
          <w:trHeight w:val="238"/>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52.48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43.65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8,664</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December 31, 2023</w:t>
            </w: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6,712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26.20</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226,419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to vest, December 31, 2023</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1,952</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45.97</w:t>
            </w:r>
          </w:p>
        </w:tc>
        <w:tc>
          <w:tcPr>
            <w:tcW w:w="960" w:type="dxa"/>
            <w:vAlign w:val="bottom"/>
            <w:tcBorders>
              <w:bottom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8.13</w:t>
            </w: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-384810</wp:posOffset>
            </wp:positionV>
            <wp:extent cx="939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-367665</wp:posOffset>
            </wp:positionV>
            <wp:extent cx="939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939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939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aggregate intrinsic values of options outstanding, exercisable, vested and expected to vest were calculated as the difference between the exercise price of the options and the fair value of the common stock as of December 31, 2023.</w:t>
      </w:r>
    </w:p>
    <w:p>
      <w:pPr>
        <w:spacing w:after="0" w:line="122"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granted stock options to purchase an aggregate of 0.8 million, 1.3 million and 2.7 million shares of its common stock, respectively with weighted average grant date fair values of $34.26, $23.62 and $30.72, respectively.</w:t>
      </w:r>
    </w:p>
    <w:p>
      <w:pPr>
        <w:spacing w:after="0" w:line="122"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2023, 2022 and 2021 were $181.0 million, $44.8 million, and $39.9 million respectively calculated as the difference between the exercise price of the underlying options and the estimated fair value of the common stock for the options on the respective date of exercise.</w:t>
      </w:r>
    </w:p>
    <w:p>
      <w:pPr>
        <w:spacing w:after="0" w:line="150"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The fair market value of options vested during the years ended December 31, 2023, 2022 and 2021 were $46.8 million, $59.0 million and $53.2 million, respectively.</w:t>
      </w:r>
    </w:p>
    <w:p>
      <w:pPr>
        <w:spacing w:after="0" w:line="122" w:lineRule="exact"/>
        <w:rPr>
          <w:sz w:val="20"/>
          <w:szCs w:val="20"/>
          <w:color w:val="auto"/>
        </w:rPr>
      </w:pPr>
    </w:p>
    <w:p>
      <w:pPr>
        <w:ind w:right="640" w:firstLine="509"/>
        <w:spacing w:after="0" w:line="281" w:lineRule="auto"/>
        <w:rPr>
          <w:sz w:val="20"/>
          <w:szCs w:val="20"/>
          <w:color w:val="auto"/>
        </w:rPr>
      </w:pPr>
      <w:r>
        <w:rPr>
          <w:rFonts w:ascii="Times New Roman" w:cs="Times New Roman" w:eastAsia="Times New Roman" w:hAnsi="Times New Roman"/>
          <w:sz w:val="18"/>
          <w:szCs w:val="18"/>
          <w:color w:val="auto"/>
        </w:rPr>
        <w:t>On December 31, 2023, unrecognized compensation expense related to unvested options, was $46.1 million, which the Company expects to recognize over an estimated weighted-average period of 2.18 years.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model to estimate the grant date fair value are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6"/>
                <w:szCs w:val="16"/>
                <w:color w:val="auto"/>
              </w:rPr>
            </w:pPr>
          </w:p>
        </w:tc>
      </w:tr>
      <w:tr>
        <w:trPr>
          <w:trHeight w:val="169"/>
        </w:trPr>
        <w:tc>
          <w:tcPr>
            <w:tcW w:w="4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3.50 - 4.01%</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1.15 - 3.37%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center"/>
              <w:ind w:right="114"/>
              <w:spacing w:after="0"/>
              <w:rPr>
                <w:sz w:val="20"/>
                <w:szCs w:val="20"/>
                <w:color w:val="auto"/>
              </w:rPr>
            </w:pPr>
            <w:r>
              <w:rPr>
                <w:rFonts w:ascii="Times New Roman" w:cs="Times New Roman" w:eastAsia="Times New Roman" w:hAnsi="Times New Roman"/>
                <w:sz w:val="18"/>
                <w:szCs w:val="18"/>
                <w:color w:val="auto"/>
                <w:w w:val="98"/>
              </w:rPr>
              <w:t>0.41 - 1.34%</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9"/>
              </w:rPr>
              <w:t>0%</w:t>
            </w:r>
          </w:p>
        </w:tc>
      </w:tr>
      <w:tr>
        <w:trPr>
          <w:trHeight w:val="247"/>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68.4 - 71.0%</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68.3 - 70.4%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center"/>
              <w:ind w:right="114"/>
              <w:spacing w:after="0"/>
              <w:rPr>
                <w:sz w:val="20"/>
                <w:szCs w:val="20"/>
                <w:color w:val="auto"/>
              </w:rPr>
            </w:pPr>
            <w:r>
              <w:rPr>
                <w:rFonts w:ascii="Times New Roman" w:cs="Times New Roman" w:eastAsia="Times New Roman" w:hAnsi="Times New Roman"/>
                <w:sz w:val="18"/>
                <w:szCs w:val="18"/>
                <w:color w:val="auto"/>
                <w:w w:val="98"/>
              </w:rPr>
              <w:t>71.7 - 74.4%</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3.81 - 6.08</w:t>
            </w:r>
          </w:p>
        </w:tc>
        <w:tc>
          <w:tcPr>
            <w:tcW w:w="16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3.81 - 6.08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5.31 - 6.08</w:t>
            </w:r>
          </w:p>
        </w:tc>
      </w:tr>
    </w:tbl>
    <w:p>
      <w:pPr>
        <w:spacing w:after="0" w:line="312" w:lineRule="exact"/>
        <w:rPr>
          <w:sz w:val="20"/>
          <w:szCs w:val="20"/>
          <w:color w:val="auto"/>
        </w:rPr>
      </w:pPr>
    </w:p>
    <w:p>
      <w:pPr>
        <w:ind w:right="16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fair value of RSU’s is estimated based upon the closing market price of the Company’s common stock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RSUs generally vest annually over a four-year period.</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RSU's activity:</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60" w:type="dxa"/>
            <w:vAlign w:val="bottom"/>
          </w:tcPr>
          <w:p>
            <w:pPr>
              <w:spacing w:after="0"/>
              <w:rPr>
                <w:sz w:val="13"/>
                <w:szCs w:val="13"/>
                <w:color w:val="auto"/>
              </w:rPr>
            </w:pPr>
          </w:p>
        </w:tc>
        <w:tc>
          <w:tcPr>
            <w:tcW w:w="1300" w:type="dxa"/>
            <w:vAlign w:val="bottom"/>
            <w:gridSpan w:val="2"/>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6140" w:type="dxa"/>
            <w:vAlign w:val="bottom"/>
          </w:tcPr>
          <w:p>
            <w:pPr>
              <w:spacing w:after="0"/>
              <w:rPr>
                <w:sz w:val="12"/>
                <w:szCs w:val="12"/>
                <w:color w:val="auto"/>
              </w:rPr>
            </w:pPr>
          </w:p>
        </w:tc>
        <w:tc>
          <w:tcPr>
            <w:tcW w:w="138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300" w:type="dxa"/>
            <w:vAlign w:val="bottom"/>
            <w:gridSpan w:val="2"/>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7"/>
        </w:trPr>
        <w:tc>
          <w:tcPr>
            <w:tcW w:w="6140" w:type="dxa"/>
            <w:vAlign w:val="bottom"/>
          </w:tcPr>
          <w:p>
            <w:pPr>
              <w:spacing w:after="0"/>
              <w:rPr>
                <w:sz w:val="16"/>
                <w:szCs w:val="16"/>
                <w:color w:val="auto"/>
              </w:rPr>
            </w:pP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December 31, 2022</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3,572</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42.23</w:t>
            </w:r>
          </w:p>
        </w:tc>
      </w:tr>
      <w:tr>
        <w:trPr>
          <w:trHeight w:val="247"/>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2,916</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52.19</w:t>
            </w:r>
          </w:p>
        </w:tc>
      </w:tr>
      <w:tr>
        <w:trPr>
          <w:trHeight w:val="238"/>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41.52</w:t>
            </w:r>
          </w:p>
        </w:tc>
      </w:tr>
      <w:tr>
        <w:trPr>
          <w:trHeight w:val="247"/>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(1,172 )</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48.43</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4,301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47.48</w:t>
            </w:r>
          </w:p>
        </w:tc>
      </w:tr>
      <w:tr>
        <w:trPr>
          <w:trHeight w:val="20"/>
        </w:trPr>
        <w:tc>
          <w:tcPr>
            <w:tcW w:w="6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-187960</wp:posOffset>
            </wp:positionV>
            <wp:extent cx="939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aggregate intrinsic value of restricted grants vested during the year ended December 31, 2023, was $55.3 million. The fair market value of restricted stock units vested during the year ended December 31, 2023 was $42.2 million.</w:t>
      </w:r>
    </w:p>
    <w:p>
      <w:pPr>
        <w:spacing w:after="0" w:line="122"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On December 31, 2023, there was approximately $155.5 million of related unrecognized compensation cost which the Company expects to recognize over a remaining weighted average period of 2.6 years.</w:t>
      </w:r>
    </w:p>
    <w:p>
      <w:pPr>
        <w:spacing w:after="0" w:line="2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On December 31, 2023, 552,881 shares of common stock remained available for issuance pursuant to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employees who elect to participate in an offering under the ESPP may have up to 15 percent of their earnings withheld, subject to certain limitations, to purchase shares of common stock pursuant to the ESPP. The price of common stock purchased under the ESPP is equal to 85 percent of the lower of the fair market value of the common stock at the commencement date of each offering period or the relevant purchase date. During the year ended December 31, 2023, a total of 112,064 shares of common stock were issued under the ESPP at average per share price of $48.00. During the year ended December 31, 2023, the Company recorded cash received from the issuance of stock to the ESPP of $5.4 million and recorded $2.1 million of stock-based compensation expense related to the ESPP. No additional shares were reserved to the ESPP in 2023.</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Common Share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common share (amounts in thousands except per share amounts):</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164"/>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(528,628 )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(652,172 )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(746,354 )</w:t>
            </w: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used in</w:t>
            </w: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118,678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5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425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425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18"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Shares outstanding presented below were excluded from the calculation of diluted net loss per share, prior to the use of the if-converted-method and treasury stock method, as their effect is anti-dilutive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4"/>
                <w:szCs w:val="14"/>
                <w:color w:val="auto"/>
              </w:rPr>
            </w:pPr>
          </w:p>
        </w:tc>
        <w:tc>
          <w:tcPr>
            <w:tcW w:w="186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2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2"/>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0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4,865</w:t>
            </w:r>
          </w:p>
        </w:tc>
      </w:tr>
      <w:tr>
        <w:trPr>
          <w:trHeight w:val="247"/>
        </w:trPr>
        <w:tc>
          <w:tcPr>
            <w:tcW w:w="6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under option</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8,664</w:t>
            </w:r>
          </w:p>
        </w:tc>
        <w:tc>
          <w:tcPr>
            <w:tcW w:w="1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12,295</w:t>
            </w:r>
          </w:p>
        </w:tc>
        <w:tc>
          <w:tcPr>
            <w:tcW w:w="1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12,562</w:t>
            </w: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4,301</w:t>
            </w:r>
          </w:p>
        </w:tc>
        <w:tc>
          <w:tcPr>
            <w:tcW w:w="140" w:type="dxa"/>
            <w:vAlign w:val="bottom"/>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1,224</w:t>
            </w:r>
          </w:p>
        </w:tc>
      </w:tr>
      <w:tr>
        <w:trPr>
          <w:trHeight w:val="276"/>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15,344</w:t>
            </w:r>
          </w:p>
        </w:tc>
        <w:tc>
          <w:tcPr>
            <w:tcW w:w="14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18,246</w:t>
            </w:r>
          </w:p>
        </w:tc>
        <w:tc>
          <w:tcPr>
            <w:tcW w:w="1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-24765</wp:posOffset>
            </wp:positionV>
            <wp:extent cx="857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857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as of December 31, 2023.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December 31, 2023, the Company’s chief executive officer and chief financial officer concluded that, as of such date, the Company’s disclosure controls and procedures were effective at the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or 15d-15(f) under the Exchange Act. Our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1500" w:right="440" w:hanging="369"/>
        <w:spacing w:after="0" w:line="260"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80" w:lineRule="exact"/>
        <w:rPr>
          <w:rFonts w:ascii="Times New Roman" w:cs="Times New Roman" w:eastAsia="Times New Roman" w:hAnsi="Times New Roman"/>
          <w:sz w:val="18"/>
          <w:szCs w:val="18"/>
          <w:color w:val="auto"/>
        </w:rPr>
      </w:pPr>
    </w:p>
    <w:p>
      <w:pPr>
        <w:jc w:val="both"/>
        <w:ind w:left="1500" w:right="200" w:hanging="369"/>
        <w:spacing w:after="0" w:line="265"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7" w:lineRule="exact"/>
        <w:rPr>
          <w:rFonts w:ascii="Times New Roman" w:cs="Times New Roman" w:eastAsia="Times New Roman" w:hAnsi="Times New Roman"/>
          <w:sz w:val="18"/>
          <w:szCs w:val="18"/>
          <w:color w:val="auto"/>
        </w:rPr>
      </w:pPr>
    </w:p>
    <w:p>
      <w:pPr>
        <w:ind w:left="1500" w:right="840" w:hanging="369"/>
        <w:spacing w:after="0" w:line="281"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2023. In making this assessment, our management used the criteria set forth by the Committee of Sponsoring Organizations of the Treadway Commission in Internal Control-Integrated Framework (2013).</w:t>
      </w:r>
    </w:p>
    <w:p>
      <w:pPr>
        <w:spacing w:after="0" w:line="177"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Based on our assessment, management concluded that, as of December 31, 2023, our internal control over financial reporting is effective based on those criteria.</w:t>
      </w:r>
    </w:p>
    <w:p>
      <w:pPr>
        <w:spacing w:after="0" w:line="163"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Deloitte &amp; Touche LLP, our independent auditors have issued an audit report on our assessment of the company’s internal control over financial reporting, which is included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6" w:lineRule="exact"/>
        <w:rPr>
          <w:sz w:val="20"/>
          <w:szCs w:val="20"/>
          <w:color w:val="auto"/>
        </w:rPr>
      </w:pPr>
    </w:p>
    <w:p>
      <w:pPr>
        <w:ind w:right="20" w:firstLine="749"/>
        <w:spacing w:after="0" w:line="227" w:lineRule="exact"/>
        <w:rPr>
          <w:sz w:val="20"/>
          <w:szCs w:val="20"/>
          <w:color w:val="auto"/>
        </w:rPr>
      </w:pPr>
      <w:r>
        <w:rPr>
          <w:rFonts w:ascii="Times New Roman" w:cs="Times New Roman" w:eastAsia="Times New Roman" w:hAnsi="Times New Roman"/>
          <w:sz w:val="18"/>
          <w:szCs w:val="18"/>
          <w:color w:val="auto"/>
        </w:rPr>
        <w:t>As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our management, including our principal executive officer and our principal financial officer, conducted an evaluation of the internal control over financial reporting to determine whether any changes occurred during the year ended December 31, 2023 that have materially affected, or are reasonably likely to materially affect, our internal control over financial reporting. Based on that evaluation, our principal executive officer and principal financial officer concluded no such changes during the year ended December 31, 2023 materially affected, or were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r>
        <w:rPr>
          <w:rFonts w:ascii="Verdana" w:cs="Verdana" w:eastAsia="Verdana" w:hAnsi="Verdana"/>
          <w:sz w:val="16"/>
          <w:szCs w:val="16"/>
          <w:b w:val="1"/>
          <w:bCs w:val="1"/>
          <w:color w:val="auto"/>
        </w:rPr>
        <w:t>.</w:t>
      </w:r>
    </w:p>
    <w:p>
      <w:pPr>
        <w:spacing w:after="0" w:line="22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Aggregate Number</w:t>
            </w: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Action Taken</w:t>
            </w:r>
          </w:p>
        </w:tc>
        <w:tc>
          <w:tcPr>
            <w:tcW w:w="120" w:type="dxa"/>
            <w:vAlign w:val="bottom"/>
          </w:tcPr>
          <w:p>
            <w:pPr>
              <w:spacing w:after="0"/>
              <w:rPr>
                <w:sz w:val="17"/>
                <w:szCs w:val="17"/>
                <w:color w:val="auto"/>
              </w:rPr>
            </w:pPr>
          </w:p>
        </w:tc>
        <w:tc>
          <w:tcPr>
            <w:tcW w:w="22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8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100" w:type="dxa"/>
            <w:vAlign w:val="bottom"/>
          </w:tcPr>
          <w:p>
            <w:pPr>
              <w:spacing w:after="0"/>
              <w:rPr>
                <w:sz w:val="17"/>
                <w:szCs w:val="17"/>
                <w:color w:val="auto"/>
              </w:rPr>
            </w:pPr>
          </w:p>
        </w:tc>
        <w:tc>
          <w:tcPr>
            <w:tcW w:w="26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25"/>
        </w:trPr>
        <w:tc>
          <w:tcPr>
            <w:tcW w:w="1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Action)</w:t>
            </w:r>
          </w:p>
        </w:tc>
        <w:tc>
          <w:tcPr>
            <w:tcW w:w="120" w:type="dxa"/>
            <w:vAlign w:val="bottom"/>
          </w:tcPr>
          <w:p>
            <w:pPr>
              <w:spacing w:after="0"/>
              <w:rPr>
                <w:sz w:val="19"/>
                <w:szCs w:val="19"/>
                <w:color w:val="auto"/>
              </w:rPr>
            </w:pPr>
          </w:p>
        </w:tc>
        <w:tc>
          <w:tcPr>
            <w:tcW w:w="2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80" w:type="dxa"/>
            <w:vAlign w:val="bottom"/>
          </w:tcPr>
          <w:p>
            <w:pPr>
              <w:spacing w:after="0"/>
              <w:rPr>
                <w:sz w:val="19"/>
                <w:szCs w:val="19"/>
                <w:color w:val="auto"/>
              </w:rPr>
            </w:pPr>
          </w:p>
        </w:tc>
        <w:tc>
          <w:tcPr>
            <w:tcW w:w="1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00" w:type="dxa"/>
            <w:vAlign w:val="bottom"/>
          </w:tcPr>
          <w:p>
            <w:pPr>
              <w:spacing w:after="0"/>
              <w:rPr>
                <w:sz w:val="19"/>
                <w:szCs w:val="19"/>
                <w:color w:val="auto"/>
              </w:rPr>
            </w:pPr>
          </w:p>
        </w:tc>
        <w:tc>
          <w:tcPr>
            <w:tcW w:w="23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22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9"/>
                <w:szCs w:val="19"/>
                <w:color w:val="auto"/>
              </w:rPr>
            </w:pPr>
          </w:p>
        </w:tc>
      </w:tr>
      <w:tr>
        <w:trPr>
          <w:trHeight w:val="20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Cedric Francois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Until 2/28/2025, or such earlier date</w:t>
            </w: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President and Chief</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Executive</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shd w:val="clear" w:color="auto" w:fill="CFF0FC"/>
          </w:tcPr>
          <w:p>
            <w:pPr>
              <w:spacing w:after="0"/>
              <w:rPr>
                <w:sz w:val="17"/>
                <w:szCs w:val="17"/>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completed or expire without</w:t>
            </w: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32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w w:val="98"/>
              </w:rPr>
              <w:t>11/30/2023</w:t>
            </w:r>
          </w:p>
        </w:tc>
        <w:tc>
          <w:tcPr>
            <w:tcW w:w="120" w:type="dxa"/>
            <w:vAlign w:val="bottom"/>
            <w:shd w:val="clear" w:color="auto" w:fill="CFF0FC"/>
          </w:tcPr>
          <w:p>
            <w:pPr>
              <w:spacing w:after="0"/>
              <w:rPr>
                <w:sz w:val="19"/>
                <w:szCs w:val="19"/>
                <w:color w:val="auto"/>
              </w:rPr>
            </w:pPr>
          </w:p>
        </w:tc>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execution</w:t>
            </w: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to 420,000 shares</w:t>
            </w:r>
          </w:p>
        </w:tc>
      </w:tr>
      <w:tr>
        <w:trPr>
          <w:trHeight w:val="202"/>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Nur Nicholson</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20" w:type="dxa"/>
            <w:vAlign w:val="bottom"/>
          </w:tcPr>
          <w:p>
            <w:pPr>
              <w:spacing w:after="0"/>
              <w:rPr>
                <w:sz w:val="17"/>
                <w:szCs w:val="17"/>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Technical Operations</w:t>
            </w:r>
          </w:p>
        </w:tc>
        <w:tc>
          <w:tcPr>
            <w:tcW w:w="13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12/01/2023</w:t>
            </w:r>
          </w:p>
        </w:tc>
        <w:tc>
          <w:tcPr>
            <w:tcW w:w="12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80" w:type="dxa"/>
            <w:vAlign w:val="bottom"/>
          </w:tcPr>
          <w:p>
            <w:pPr>
              <w:spacing w:after="0"/>
              <w:rPr>
                <w:sz w:val="19"/>
                <w:szCs w:val="19"/>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2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12"/>
        </w:trPr>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Until 2/28/2025, or such earlier date</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1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Timothy E Sullivan</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shd w:val="clear" w:color="auto" w:fill="CFF0FC"/>
          </w:tcPr>
          <w:p>
            <w:pPr>
              <w:spacing w:after="0"/>
              <w:rPr>
                <w:sz w:val="17"/>
                <w:szCs w:val="17"/>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completed or expire without</w:t>
            </w: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13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12/01/2023</w:t>
            </w:r>
          </w:p>
        </w:tc>
        <w:tc>
          <w:tcPr>
            <w:tcW w:w="120" w:type="dxa"/>
            <w:vAlign w:val="bottom"/>
            <w:shd w:val="clear" w:color="auto" w:fill="CFF0FC"/>
          </w:tcPr>
          <w:p>
            <w:pPr>
              <w:spacing w:after="0"/>
              <w:rPr>
                <w:sz w:val="19"/>
                <w:szCs w:val="19"/>
                <w:color w:val="auto"/>
              </w:rPr>
            </w:pPr>
          </w:p>
        </w:tc>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0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execution</w:t>
            </w:r>
          </w:p>
        </w:tc>
        <w:tc>
          <w:tcPr>
            <w:tcW w:w="1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to 150,000 shares</w:t>
            </w: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Until 9/09/2024, or such earlier date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Pascal Deschatelets</w:t>
            </w:r>
          </w:p>
        </w:tc>
        <w:tc>
          <w:tcPr>
            <w:tcW w:w="120" w:type="dxa"/>
            <w:vAlign w:val="bottom"/>
          </w:tcPr>
          <w:p>
            <w:pPr>
              <w:spacing w:after="0"/>
              <w:rPr>
                <w:sz w:val="17"/>
                <w:szCs w:val="17"/>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Adoption</w:t>
            </w:r>
          </w:p>
        </w:tc>
        <w:tc>
          <w:tcPr>
            <w:tcW w:w="120" w:type="dxa"/>
            <w:vAlign w:val="bottom"/>
          </w:tcPr>
          <w:p>
            <w:pPr>
              <w:spacing w:after="0"/>
              <w:rPr>
                <w:sz w:val="17"/>
                <w:szCs w:val="17"/>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completed or expire without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12/03/2023</w:t>
            </w:r>
          </w:p>
        </w:tc>
        <w:tc>
          <w:tcPr>
            <w:tcW w:w="12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80" w:type="dxa"/>
            <w:vAlign w:val="bottom"/>
          </w:tcPr>
          <w:p>
            <w:pPr>
              <w:spacing w:after="0"/>
              <w:rPr>
                <w:sz w:val="18"/>
                <w:szCs w:val="18"/>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0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execution</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Up to 296,028 shares</w:t>
            </w:r>
          </w:p>
        </w:tc>
      </w:tr>
    </w:tbl>
    <w:p>
      <w:pPr>
        <w:spacing w:after="0" w:line="325" w:lineRule="exact"/>
        <w:rPr>
          <w:sz w:val="20"/>
          <w:szCs w:val="20"/>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67,000 shares of our common stock and had a scheduled expiration date of 12/27/2024.</w:t>
      </w:r>
    </w:p>
    <w:p>
      <w:pPr>
        <w:sectPr>
          <w:pgSz w:w="11900" w:h="16838" w:orient="portrait"/>
          <w:cols w:equalWidth="0" w:num="1">
            <w:col w:w="11240"/>
          </w:cols>
          <w:pgMar w:left="320" w:top="769" w:right="3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140" w:firstLine="578"/>
        <w:spacing w:after="0" w:line="260"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2024 Annual Meeting of Stockholders, or the Proxy Statement, which we intend to file not later than 120 days after the end of our fiscal year ended December 31, 2023, under the headings “Information about our Executive Officers,” “Election of Directors,” “Corporate Governance,” and “ Delinquent Section 16(a) Reports,” and is incorporated in this Annual Report on Form 10-K by reference.</w:t>
      </w:r>
    </w:p>
    <w:p>
      <w:pPr>
        <w:spacing w:after="0" w:line="182"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including our principal executive officer, principal financial officer, principal accounting officer or controller, or persons performing similar functions, which is available on our website at www.apellis.com. The Code of Business Conduct and Ethics is intended to qualify as a “code of ethics” within the meaning of Section 406 of the Sarbanes-Oxley Act of 2002 and Item 406 of Regulation S-K. In addition, we intend to promptly disclose the nature of any amendment to our Code of Business Conduct and Ethics or any waiver from our Code of Business Conduct and Ethics granted to any officer or director on our website or in a current report on Form 8-K.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set forth in the sections titled “Executive Compensation” and “Director Compensation” in our Proxy Statement and, other than the information required by Item 402(v) of Regulation S-K, is incorporated in this Annual Report on Form 10-K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set forth in the sections titled “Security Ownership of Certain Beneficial Owners and Management” and “Equity Compensation Plan Information” in our Proxy Statement and is incorporated in this Annual Report on Form 10-K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set forth in the sections titled “Certain Relationships and Related Party Transactions,” “Election of Directors,” and “Corporate Governance,” respectively, in our Proxy Statement and is incorporated in this Annual Report on Form 10-K by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set forth in the section titled “Principal Accountant Fees and Services” in our Proxy Statement and is incorporated in this Annual Report on Form 10-K by reference.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20" w:type="dxa"/>
            <w:vAlign w:val="bottom"/>
          </w:tcPr>
          <w:p>
            <w:pPr>
              <w:spacing w:after="0"/>
              <w:rPr>
                <w:sz w:val="20"/>
                <w:szCs w:val="20"/>
                <w:color w:val="auto"/>
              </w:rPr>
            </w:pPr>
          </w:p>
        </w:tc>
      </w:tr>
      <w:tr>
        <w:trPr>
          <w:trHeight w:val="517"/>
        </w:trPr>
        <w:tc>
          <w:tcPr>
            <w:tcW w:w="107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520" w:type="dxa"/>
            <w:vAlign w:val="bottom"/>
          </w:tcPr>
          <w:p>
            <w:pPr>
              <w:spacing w:after="0"/>
              <w:rPr>
                <w:sz w:val="24"/>
                <w:szCs w:val="24"/>
                <w:color w:val="auto"/>
              </w:rPr>
            </w:pPr>
          </w:p>
        </w:tc>
      </w:tr>
      <w:tr>
        <w:trPr>
          <w:trHeight w:val="324"/>
        </w:trPr>
        <w:tc>
          <w:tcPr>
            <w:tcW w:w="107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 Documents filed as a part of this Report:</w:t>
            </w:r>
          </w:p>
        </w:tc>
        <w:tc>
          <w:tcPr>
            <w:tcW w:w="520" w:type="dxa"/>
            <w:vAlign w:val="bottom"/>
          </w:tcPr>
          <w:p>
            <w:pPr>
              <w:spacing w:after="0"/>
              <w:rPr>
                <w:sz w:val="24"/>
                <w:szCs w:val="24"/>
                <w:color w:val="auto"/>
              </w:rPr>
            </w:pPr>
          </w:p>
        </w:tc>
      </w:tr>
      <w:tr>
        <w:trPr>
          <w:trHeight w:val="324"/>
        </w:trPr>
        <w:tc>
          <w:tcPr>
            <w:tcW w:w="107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r>
              <w:rPr>
                <w:rFonts w:ascii="Times New Roman" w:cs="Times New Roman" w:eastAsia="Times New Roman" w:hAnsi="Times New Roman"/>
                <w:sz w:val="18"/>
                <w:szCs w:val="18"/>
                <w:color w:val="auto"/>
              </w:rPr>
              <w:t>—Included in Item 8 of this Annual Report on Form 10-K.</w:t>
            </w:r>
          </w:p>
        </w:tc>
        <w:tc>
          <w:tcPr>
            <w:tcW w:w="52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10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years ended December 31, 2023 and 2022 and for each of the three years in the period ended</w:t>
            </w:r>
          </w:p>
        </w:tc>
        <w:tc>
          <w:tcPr>
            <w:tcW w:w="5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10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06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w:t>
            </w:r>
            <w:r>
              <w:rPr>
                <w:rFonts w:ascii="Times New Roman" w:cs="Times New Roman" w:eastAsia="Times New Roman" w:hAnsi="Times New Roman"/>
                <w:sz w:val="18"/>
                <w:szCs w:val="18"/>
                <w:color w:val="000000"/>
              </w:rPr>
              <w:t>2</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2023 and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20" w:type="dxa"/>
            <w:vAlign w:val="bottom"/>
          </w:tcPr>
          <w:p>
            <w:pPr>
              <w:spacing w:after="0"/>
              <w:rPr>
                <w:sz w:val="19"/>
                <w:szCs w:val="19"/>
                <w:color w:val="auto"/>
              </w:rPr>
            </w:pPr>
          </w:p>
        </w:tc>
        <w:tc>
          <w:tcPr>
            <w:tcW w:w="8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period from January 1, 2021 to December 31, 202</w:t>
            </w:r>
            <w:r>
              <w:rPr>
                <w:rFonts w:ascii="Times New Roman" w:cs="Times New Roman" w:eastAsia="Times New Roman" w:hAnsi="Times New Roman"/>
                <w:sz w:val="18"/>
                <w:szCs w:val="18"/>
                <w:color w:val="000000"/>
              </w:rPr>
              <w:t>3</w:t>
            </w:r>
          </w:p>
        </w:tc>
        <w:tc>
          <w:tcPr>
            <w:tcW w:w="1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20" w:type="dxa"/>
            <w:vAlign w:val="bottom"/>
          </w:tcPr>
          <w:p>
            <w:pPr>
              <w:spacing w:after="0"/>
              <w:rPr>
                <w:sz w:val="19"/>
                <w:szCs w:val="19"/>
                <w:color w:val="auto"/>
              </w:rPr>
            </w:pPr>
          </w:p>
        </w:tc>
        <w:tc>
          <w:tcPr>
            <w:tcW w:w="6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1660" w:type="dxa"/>
            <w:vAlign w:val="bottom"/>
            <w:tcBorders>
              <w:top w:val="single" w:sz="8" w:color="0000FF"/>
            </w:tcBorders>
          </w:tcPr>
          <w:p>
            <w:pPr>
              <w:spacing w:after="0"/>
              <w:rPr>
                <w:sz w:val="19"/>
                <w:szCs w:val="19"/>
                <w:color w:val="auto"/>
              </w:rPr>
            </w:pPr>
          </w:p>
        </w:tc>
        <w:tc>
          <w:tcPr>
            <w:tcW w:w="212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20" w:type="dxa"/>
            <w:vAlign w:val="bottom"/>
          </w:tcPr>
          <w:p>
            <w:pPr>
              <w:spacing w:after="0"/>
              <w:rPr>
                <w:sz w:val="19"/>
                <w:szCs w:val="19"/>
                <w:color w:val="auto"/>
              </w:rPr>
            </w:pPr>
          </w:p>
        </w:tc>
        <w:tc>
          <w:tcPr>
            <w:tcW w:w="10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No financial statement schedules have been filed as part of this Annual Report on Form 10-K because they are not applicable, not required or the required information is otherwise included in our consolidated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700" w:type="dxa"/>
            <w:vAlign w:val="bottom"/>
            <w:gridSpan w:val="17"/>
          </w:tcPr>
          <w:p>
            <w:pPr>
              <w:ind w:left="4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860" w:type="dxa"/>
            <w:vAlign w:val="bottom"/>
          </w:tcPr>
          <w:p>
            <w:pPr>
              <w:spacing w:after="0"/>
              <w:rPr>
                <w:sz w:val="22"/>
                <w:szCs w:val="22"/>
                <w:color w:val="auto"/>
              </w:rPr>
            </w:pPr>
          </w:p>
        </w:tc>
        <w:tc>
          <w:tcPr>
            <w:tcW w:w="25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020" w:type="dxa"/>
            <w:vAlign w:val="bottom"/>
            <w:vMerge w:val="restart"/>
          </w:tcPr>
          <w:p>
            <w:pPr>
              <w:ind w:left="160"/>
              <w:spacing w:after="0"/>
              <w:rPr>
                <w:sz w:val="20"/>
                <w:szCs w:val="20"/>
                <w:color w:val="auto"/>
              </w:rPr>
            </w:pPr>
            <w:r>
              <w:rPr>
                <w:rFonts w:ascii="Calibri" w:cs="Calibri" w:eastAsia="Calibri" w:hAnsi="Calibri"/>
                <w:sz w:val="20"/>
                <w:szCs w:val="20"/>
                <w:b w:val="1"/>
                <w:bCs w:val="1"/>
                <w:color w:val="auto"/>
              </w:rPr>
              <w:t>Exhibit</w:t>
            </w: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b w:val="1"/>
                <w:bCs w:val="1"/>
                <w:color w:val="auto"/>
              </w:rPr>
              <w:t>Filed</w:t>
            </w:r>
          </w:p>
        </w:tc>
        <w:tc>
          <w:tcPr>
            <w:tcW w:w="0" w:type="dxa"/>
            <w:vAlign w:val="bottom"/>
          </w:tcPr>
          <w:p>
            <w:pPr>
              <w:spacing w:after="0"/>
              <w:rPr>
                <w:sz w:val="1"/>
                <w:szCs w:val="1"/>
                <w:color w:val="auto"/>
              </w:rPr>
            </w:pPr>
          </w:p>
        </w:tc>
      </w:tr>
      <w:tr>
        <w:trPr>
          <w:trHeight w:val="202"/>
        </w:trPr>
        <w:tc>
          <w:tcPr>
            <w:tcW w:w="10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ind w:left="260"/>
              <w:spacing w:after="0" w:line="203" w:lineRule="exact"/>
              <w:rPr>
                <w:sz w:val="20"/>
                <w:szCs w:val="20"/>
                <w:color w:val="auto"/>
              </w:rPr>
            </w:pPr>
            <w:r>
              <w:rPr>
                <w:rFonts w:ascii="Times New Roman" w:cs="Times New Roman" w:eastAsia="Times New Roman" w:hAnsi="Times New Roman"/>
                <w:sz w:val="20"/>
                <w:szCs w:val="20"/>
                <w:b w:val="1"/>
                <w:bCs w:val="1"/>
                <w:color w:val="auto"/>
              </w:rPr>
              <w:t>Form</w:t>
            </w:r>
          </w:p>
        </w:tc>
        <w:tc>
          <w:tcPr>
            <w:tcW w:w="1280" w:type="dxa"/>
            <w:vAlign w:val="bottom"/>
          </w:tcPr>
          <w:p>
            <w:pPr>
              <w:ind w:left="180"/>
              <w:spacing w:after="0" w:line="203" w:lineRule="exact"/>
              <w:rPr>
                <w:sz w:val="20"/>
                <w:szCs w:val="20"/>
                <w:color w:val="auto"/>
              </w:rPr>
            </w:pPr>
            <w:r>
              <w:rPr>
                <w:rFonts w:ascii="Times New Roman" w:cs="Times New Roman" w:eastAsia="Times New Roman" w:hAnsi="Times New Roman"/>
                <w:sz w:val="20"/>
                <w:szCs w:val="20"/>
                <w:b w:val="1"/>
                <w:bCs w:val="1"/>
                <w:color w:val="auto"/>
                <w:w w:val="99"/>
              </w:rPr>
              <w:t>File Number</w:t>
            </w:r>
          </w:p>
        </w:tc>
        <w:tc>
          <w:tcPr>
            <w:tcW w:w="1220" w:type="dxa"/>
            <w:vAlign w:val="bottom"/>
          </w:tcPr>
          <w:p>
            <w:pPr>
              <w:ind w:left="200"/>
              <w:spacing w:after="0" w:line="203" w:lineRule="exact"/>
              <w:rPr>
                <w:sz w:val="20"/>
                <w:szCs w:val="20"/>
                <w:color w:val="auto"/>
              </w:rPr>
            </w:pPr>
            <w:r>
              <w:rPr>
                <w:rFonts w:ascii="Times New Roman" w:cs="Times New Roman" w:eastAsia="Times New Roman" w:hAnsi="Times New Roman"/>
                <w:sz w:val="20"/>
                <w:szCs w:val="20"/>
                <w:b w:val="1"/>
                <w:bCs w:val="1"/>
                <w:color w:val="auto"/>
              </w:rPr>
              <w:t>Date of</w:t>
            </w:r>
          </w:p>
        </w:tc>
        <w:tc>
          <w:tcPr>
            <w:tcW w:w="1000" w:type="dxa"/>
            <w:vAlign w:val="bottom"/>
          </w:tcPr>
          <w:p>
            <w:pPr>
              <w:jc w:val="right"/>
              <w:ind w:right="209"/>
              <w:spacing w:after="0" w:line="203"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020" w:type="dxa"/>
            <w:vAlign w:val="bottom"/>
          </w:tcPr>
          <w:p>
            <w:pPr>
              <w:ind w:left="140"/>
              <w:spacing w:after="0"/>
              <w:rPr>
                <w:sz w:val="20"/>
                <w:szCs w:val="20"/>
                <w:color w:val="auto"/>
              </w:rPr>
            </w:pPr>
            <w:r>
              <w:rPr>
                <w:rFonts w:ascii="Calibri" w:cs="Calibri" w:eastAsia="Calibri" w:hAnsi="Calibri"/>
                <w:sz w:val="20"/>
                <w:szCs w:val="20"/>
                <w:b w:val="1"/>
                <w:bCs w:val="1"/>
                <w:color w:val="auto"/>
              </w:rPr>
              <w:t>Number</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Filing</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1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Herewith</w:t>
            </w:r>
          </w:p>
        </w:tc>
        <w:tc>
          <w:tcPr>
            <w:tcW w:w="0" w:type="dxa"/>
            <w:vAlign w:val="bottom"/>
          </w:tcPr>
          <w:p>
            <w:pPr>
              <w:spacing w:after="0"/>
              <w:rPr>
                <w:sz w:val="1"/>
                <w:szCs w:val="1"/>
                <w:color w:val="auto"/>
              </w:rPr>
            </w:pPr>
          </w:p>
        </w:tc>
      </w:tr>
      <w:tr>
        <w:trPr>
          <w:trHeight w:val="55"/>
        </w:trPr>
        <w:tc>
          <w:tcPr>
            <w:tcW w:w="10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4700" w:type="dxa"/>
            <w:vAlign w:val="bottom"/>
            <w:gridSpan w:val="19"/>
          </w:tcPr>
          <w:p>
            <w:pPr>
              <w:spacing w:after="0" w:line="176" w:lineRule="exact"/>
              <w:rPr>
                <w:rFonts w:ascii="Times New Roman" w:cs="Times New Roman" w:eastAsia="Times New Roman" w:hAnsi="Times New Roman"/>
                <w:sz w:val="18"/>
                <w:szCs w:val="18"/>
                <w:color w:val="0000FF"/>
              </w:rPr>
            </w:pPr>
            <w:hyperlink r:id="rId518">
              <w:r>
                <w:rPr>
                  <w:rFonts w:ascii="Times New Roman" w:cs="Times New Roman" w:eastAsia="Times New Roman" w:hAnsi="Times New Roman"/>
                  <w:sz w:val="18"/>
                  <w:szCs w:val="18"/>
                  <w:color w:val="0000FF"/>
                </w:rPr>
                <w:t>Asset Purchase Agreement</w:t>
              </w:r>
            </w:hyperlink>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19">
              <w:r>
                <w:rPr>
                  <w:rFonts w:ascii="Times New Roman" w:cs="Times New Roman" w:eastAsia="Times New Roman" w:hAnsi="Times New Roman"/>
                  <w:sz w:val="18"/>
                  <w:szCs w:val="18"/>
                  <w:color w:val="0000FF"/>
                </w:rPr>
                <w:t>Restated Certificate of Incorporation of the Registrant</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0">
              <w:r>
                <w:rPr>
                  <w:rFonts w:ascii="Times New Roman" w:cs="Times New Roman" w:eastAsia="Times New Roman" w:hAnsi="Times New Roman"/>
                  <w:sz w:val="18"/>
                  <w:szCs w:val="18"/>
                  <w:color w:val="0000FF"/>
                </w:rPr>
                <w:t>Amended and Restated By-Laws of the Registrant</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1">
              <w:r>
                <w:rPr>
                  <w:rFonts w:ascii="Times New Roman" w:cs="Times New Roman" w:eastAsia="Times New Roman" w:hAnsi="Times New Roman"/>
                  <w:sz w:val="18"/>
                  <w:szCs w:val="18"/>
                  <w:color w:val="0000FF"/>
                </w:rPr>
                <w:t>Specimen Stock Certificate evidencing the shares of common</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21">
              <w:r>
                <w:rPr>
                  <w:rFonts w:ascii="Times New Roman" w:cs="Times New Roman" w:eastAsia="Times New Roman" w:hAnsi="Times New Roman"/>
                  <w:sz w:val="18"/>
                  <w:szCs w:val="18"/>
                  <w:color w:val="0000FF"/>
                </w:rPr>
                <w:t>stock</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2">
              <w:r>
                <w:rPr>
                  <w:rFonts w:ascii="Times New Roman" w:cs="Times New Roman" w:eastAsia="Times New Roman" w:hAnsi="Times New Roman"/>
                  <w:sz w:val="18"/>
                  <w:szCs w:val="18"/>
                  <w:color w:val="0000FF"/>
                </w:rPr>
                <w:t>Investors’ Rights Agreement dated as of August 7, 2017, among</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22">
              <w:r>
                <w:rPr>
                  <w:rFonts w:ascii="Times New Roman" w:cs="Times New Roman" w:eastAsia="Times New Roman" w:hAnsi="Times New Roman"/>
                  <w:sz w:val="18"/>
                  <w:szCs w:val="18"/>
                  <w:color w:val="0000FF"/>
                </w:rPr>
                <w:t>the Registrant and the other parties thereto</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3">
              <w:r>
                <w:rPr>
                  <w:rFonts w:ascii="Times New Roman" w:cs="Times New Roman" w:eastAsia="Times New Roman" w:hAnsi="Times New Roman"/>
                  <w:sz w:val="18"/>
                  <w:szCs w:val="18"/>
                  <w:color w:val="0000FF"/>
                </w:rPr>
                <w:t>Indenture (including form of Note), dated as of September 16,</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9/16/2019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23">
              <w:r>
                <w:rPr>
                  <w:rFonts w:ascii="Times New Roman" w:cs="Times New Roman" w:eastAsia="Times New Roman" w:hAnsi="Times New Roman"/>
                  <w:sz w:val="18"/>
                  <w:szCs w:val="18"/>
                  <w:color w:val="0000FF"/>
                </w:rPr>
                <w:t>2019, by and between Apellis Pharmaceuticals, Inc. and U.S.</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23">
              <w:r>
                <w:rPr>
                  <w:rFonts w:ascii="Times New Roman" w:cs="Times New Roman" w:eastAsia="Times New Roman" w:hAnsi="Times New Roman"/>
                  <w:sz w:val="18"/>
                  <w:szCs w:val="18"/>
                  <w:color w:val="0000FF"/>
                </w:rPr>
                <w:t>Bank National Association, as trustee</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4">
              <w:r>
                <w:rPr>
                  <w:rFonts w:ascii="Times New Roman" w:cs="Times New Roman" w:eastAsia="Times New Roman" w:hAnsi="Times New Roman"/>
                  <w:sz w:val="18"/>
                  <w:szCs w:val="18"/>
                  <w:color w:val="0000FF"/>
                </w:rPr>
                <w:t>Description of Securities Registered Under Section 12 of the</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2/28/2022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24">
              <w:r>
                <w:rPr>
                  <w:rFonts w:ascii="Times New Roman" w:cs="Times New Roman" w:eastAsia="Times New Roman" w:hAnsi="Times New Roman"/>
                  <w:sz w:val="18"/>
                  <w:szCs w:val="18"/>
                  <w:color w:val="0000FF"/>
                </w:rPr>
                <w:t>Exchange Act</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5">
              <w:r>
                <w:rPr>
                  <w:rFonts w:ascii="Times New Roman" w:cs="Times New Roman" w:eastAsia="Times New Roman" w:hAnsi="Times New Roman"/>
                  <w:sz w:val="18"/>
                  <w:szCs w:val="18"/>
                  <w:color w:val="0000FF"/>
                </w:rPr>
                <w:t>Form of Pre-Funded Warrant</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001-38276</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2/24/2023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6">
              <w:r>
                <w:rPr>
                  <w:rFonts w:ascii="Times New Roman" w:cs="Times New Roman" w:eastAsia="Times New Roman" w:hAnsi="Times New Roman"/>
                  <w:sz w:val="18"/>
                  <w:szCs w:val="18"/>
                  <w:color w:val="0000FF"/>
                </w:rPr>
                <w:t>2010 Equity Incentive Plan, as amended</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7">
              <w:r>
                <w:rPr>
                  <w:rFonts w:ascii="Times New Roman" w:cs="Times New Roman" w:eastAsia="Times New Roman" w:hAnsi="Times New Roman"/>
                  <w:sz w:val="18"/>
                  <w:szCs w:val="18"/>
                  <w:color w:val="0000FF"/>
                </w:rPr>
                <w:t>Form of Incentive Stock Option Grant Notice and Agreement</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27">
              <w:r>
                <w:rPr>
                  <w:rFonts w:ascii="Times New Roman" w:cs="Times New Roman" w:eastAsia="Times New Roman" w:hAnsi="Times New Roman"/>
                  <w:sz w:val="18"/>
                  <w:szCs w:val="18"/>
                  <w:color w:val="0000FF"/>
                </w:rPr>
                <w:t>under 2010 Equity Incentive Plan</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5560" w:type="dxa"/>
            <w:vAlign w:val="bottom"/>
            <w:gridSpan w:val="20"/>
          </w:tcPr>
          <w:p>
            <w:pPr>
              <w:spacing w:after="0"/>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 xml:space="preserve">Form of Nonstatutory Stock Option Grant Notice and Agreement </w:t>
              </w:r>
            </w:hyperlink>
            <w:r>
              <w:rPr>
                <w:rFonts w:ascii="Times New Roman" w:cs="Times New Roman" w:eastAsia="Times New Roman" w:hAnsi="Times New Roman"/>
                <w:sz w:val="18"/>
                <w:szCs w:val="18"/>
                <w:color w:val="000000"/>
              </w:rPr>
              <w:t>S-1</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under 2010 Equity Incentive Plan</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29">
              <w:r>
                <w:rPr>
                  <w:rFonts w:ascii="Times New Roman" w:cs="Times New Roman" w:eastAsia="Times New Roman" w:hAnsi="Times New Roman"/>
                  <w:sz w:val="18"/>
                  <w:szCs w:val="18"/>
                  <w:color w:val="0000FF"/>
                </w:rPr>
                <w:t>2017 Stock Incentive Plan</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Form of Incentive Stock Option Agreement under 2017 Stock</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Incentive Plan</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Form of Nonstatutory Stock Option Agreement under 2017</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Stock Incentive Plan</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Form of Director and Officer Indemnification Agreement</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040" w:type="dxa"/>
            <w:vAlign w:val="bottom"/>
            <w:tcBorders>
              <w:right w:val="single" w:sz="8" w:color="0000FF"/>
            </w:tcBorders>
            <w:gridSpan w:val="9"/>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700" w:type="dxa"/>
            <w:vAlign w:val="bottom"/>
            <w:gridSpan w:val="19"/>
          </w:tcPr>
          <w:p>
            <w:pPr>
              <w:spacing w:after="0"/>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Patent License Agreement, dated as of March 28, 2008, by and</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333-220941</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40" w:type="dxa"/>
            <w:vAlign w:val="bottom"/>
            <w:tcBorders>
              <w:right w:val="single" w:sz="8" w:color="0000FF"/>
            </w:tcBorders>
            <w:gridSpan w:val="9"/>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700" w:type="dxa"/>
            <w:vAlign w:val="bottom"/>
            <w:gridSpan w:val="19"/>
          </w:tcPr>
          <w:p>
            <w:pPr>
              <w:spacing w:after="0" w:line="195"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between Apellis AG and The Trustees of the</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769"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5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University of Pennsylvania, as assigned to the Registrant</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Amended and Restated Patent License Agreement, dated as of</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w w:val="99"/>
              </w:rPr>
            </w:pPr>
            <w:hyperlink r:id="rId535">
              <w:r>
                <w:rPr>
                  <w:rFonts w:ascii="Times New Roman" w:cs="Times New Roman" w:eastAsia="Times New Roman" w:hAnsi="Times New Roman"/>
                  <w:sz w:val="18"/>
                  <w:szCs w:val="18"/>
                  <w:color w:val="0000FF"/>
                  <w:w w:val="99"/>
                </w:rPr>
                <w:t>March 28, 2008, by and between Potentia Pharmaceuticals, Inc.</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w w:val="98"/>
              </w:rPr>
            </w:pPr>
            <w:hyperlink r:id="rId535">
              <w:r>
                <w:rPr>
                  <w:rFonts w:ascii="Times New Roman" w:cs="Times New Roman" w:eastAsia="Times New Roman" w:hAnsi="Times New Roman"/>
                  <w:sz w:val="18"/>
                  <w:szCs w:val="18"/>
                  <w:color w:val="0000FF"/>
                  <w:w w:val="98"/>
                </w:rPr>
                <w:t>and The Trustees of the University of Pennsylvania, as amended</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by the First Amendment to the Amended and Restated Patent</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License Agreement, dated as of October 14, 2009 and as</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assigned to the Registrant</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Summary of Non-Employee Director Compensation Program</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620" w:type="dxa"/>
            <w:vAlign w:val="bottom"/>
            <w:gridSpan w:val="19"/>
          </w:tcPr>
          <w:p>
            <w:pPr>
              <w:spacing w:after="0"/>
              <w:rPr>
                <w:rFonts w:ascii="Times New Roman" w:cs="Times New Roman" w:eastAsia="Times New Roman" w:hAnsi="Times New Roman"/>
                <w:sz w:val="18"/>
                <w:szCs w:val="18"/>
                <w:color w:val="0000FF"/>
                <w:w w:val="98"/>
              </w:rPr>
            </w:pPr>
            <w:hyperlink r:id="rId537">
              <w:r>
                <w:rPr>
                  <w:rFonts w:ascii="Times New Roman" w:cs="Times New Roman" w:eastAsia="Times New Roman" w:hAnsi="Times New Roman"/>
                  <w:sz w:val="18"/>
                  <w:szCs w:val="18"/>
                  <w:color w:val="0000FF"/>
                  <w:w w:val="98"/>
                </w:rPr>
                <w:t>Lease, dated as of April 27, 2017, by and between the Registrant</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and NWALP PHOP Property Owner, LLC</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38">
              <w:r>
                <w:rPr>
                  <w:rFonts w:ascii="Times New Roman" w:cs="Times New Roman" w:eastAsia="Times New Roman" w:hAnsi="Times New Roman"/>
                  <w:sz w:val="18"/>
                  <w:szCs w:val="18"/>
                  <w:color w:val="0000FF"/>
                </w:rPr>
                <w:t>2017 Employee Stock Purchase Plan</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Offer Letter, dated as of October 9, 2017, by and between the</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S-1/A</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Registrant and Timothy Sullivan</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620" w:type="dxa"/>
            <w:vAlign w:val="bottom"/>
            <w:gridSpan w:val="19"/>
          </w:tcPr>
          <w:p>
            <w:pPr>
              <w:spacing w:after="0"/>
              <w:rPr>
                <w:rFonts w:ascii="Times New Roman" w:cs="Times New Roman" w:eastAsia="Times New Roman" w:hAnsi="Times New Roman"/>
                <w:sz w:val="18"/>
                <w:szCs w:val="18"/>
                <w:color w:val="0000FF"/>
                <w:w w:val="98"/>
              </w:rPr>
            </w:pPr>
            <w:hyperlink r:id="rId540">
              <w:r>
                <w:rPr>
                  <w:rFonts w:ascii="Times New Roman" w:cs="Times New Roman" w:eastAsia="Times New Roman" w:hAnsi="Times New Roman"/>
                  <w:sz w:val="18"/>
                  <w:szCs w:val="18"/>
                  <w:color w:val="0000FF"/>
                  <w:w w:val="98"/>
                </w:rPr>
                <w:t>First Amendment to Lease, dated July 25, 2018, by and between</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0">
              <w:r>
                <w:rPr>
                  <w:rFonts w:ascii="Times New Roman" w:cs="Times New Roman" w:eastAsia="Times New Roman" w:hAnsi="Times New Roman"/>
                  <w:sz w:val="18"/>
                  <w:szCs w:val="18"/>
                  <w:color w:val="0000FF"/>
                </w:rPr>
                <w:t>Registrant and NWALP PHOP Property Owner LLC.</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Second Amendment to Lease, dated June 5, 2019, by and</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between Registrant and NWALP PHOP Property Owner LLC.</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Third Amendment to Lease, dated September 25, 2019, by and</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between Registrant and NWALP PHOP Property Owner LLC.</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620" w:type="dxa"/>
            <w:vAlign w:val="bottom"/>
            <w:gridSpan w:val="19"/>
          </w:tcPr>
          <w:p>
            <w:pPr>
              <w:spacing w:after="0"/>
              <w:rPr>
                <w:rFonts w:ascii="Times New Roman" w:cs="Times New Roman" w:eastAsia="Times New Roman" w:hAnsi="Times New Roman"/>
                <w:sz w:val="18"/>
                <w:szCs w:val="18"/>
                <w:color w:val="0000FF"/>
                <w:w w:val="99"/>
              </w:rPr>
            </w:pPr>
            <w:hyperlink r:id="rId543">
              <w:r>
                <w:rPr>
                  <w:rFonts w:ascii="Times New Roman" w:cs="Times New Roman" w:eastAsia="Times New Roman" w:hAnsi="Times New Roman"/>
                  <w:sz w:val="18"/>
                  <w:szCs w:val="18"/>
                  <w:color w:val="0000FF"/>
                  <w:w w:val="99"/>
                </w:rPr>
                <w:t>Fourth Amendment to Lease, dated November 13, 2020, by and</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between Registrant and NWALP PHOP Property Owner LLC.</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Development Funding Agreement, dated as of February 28,</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2019, by and between the Registrant and SFJ Pharmaceuticals</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XI, L.P.</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Amendment, dated as of June 7, 2019, to the Development</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Funding Agreement, dated as of February 28, 2019 by and</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between the Registrant and SFJ Pharmaceuticals XI, L.P.</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Standard Office Lease, dated as of March 29, 2019, by and</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w w:val="98"/>
              </w:rPr>
            </w:pPr>
            <w:hyperlink r:id="rId546">
              <w:r>
                <w:rPr>
                  <w:rFonts w:ascii="Times New Roman" w:cs="Times New Roman" w:eastAsia="Times New Roman" w:hAnsi="Times New Roman"/>
                  <w:sz w:val="18"/>
                  <w:szCs w:val="18"/>
                  <w:color w:val="0000FF"/>
                  <w:w w:val="98"/>
                </w:rPr>
                <w:t>between the Registrant and Geary-Market Investment Company,</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Ltd.</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EE"/>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Form of Capped Call Transaction Confirmation</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8">
              <w:r>
                <w:rPr>
                  <w:rFonts w:ascii="Times New Roman" w:cs="Times New Roman" w:eastAsia="Times New Roman" w:hAnsi="Times New Roman"/>
                  <w:sz w:val="18"/>
                  <w:szCs w:val="18"/>
                  <w:color w:val="0000FF"/>
                </w:rPr>
                <w:t>Amendment No. 1 to 2017 Employee Stock Purchase Plan</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238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49">
              <w:r>
                <w:rPr>
                  <w:rFonts w:ascii="Times New Roman" w:cs="Times New Roman" w:eastAsia="Times New Roman" w:hAnsi="Times New Roman"/>
                  <w:sz w:val="18"/>
                  <w:szCs w:val="18"/>
                  <w:color w:val="0000FF"/>
                </w:rPr>
                <w:t>Collaboration and License Agreement, dated October 27, 2020,</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r>
      <w:tr>
        <w:trPr>
          <w:trHeight w:val="20"/>
        </w:trPr>
        <w:tc>
          <w:tcPr>
            <w:tcW w:w="1020" w:type="dxa"/>
            <w:vAlign w:val="bottom"/>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w w:val="99"/>
              </w:rPr>
            </w:pPr>
            <w:hyperlink r:id="rId549">
              <w:r>
                <w:rPr>
                  <w:rFonts w:ascii="Times New Roman" w:cs="Times New Roman" w:eastAsia="Times New Roman" w:hAnsi="Times New Roman"/>
                  <w:sz w:val="18"/>
                  <w:szCs w:val="18"/>
                  <w:color w:val="0000FF"/>
                  <w:w w:val="99"/>
                </w:rPr>
                <w:t>by and among, the Registrant, Apellis Switzerland GmbH, APL</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49">
              <w:r>
                <w:rPr>
                  <w:rFonts w:ascii="Times New Roman" w:cs="Times New Roman" w:eastAsia="Times New Roman" w:hAnsi="Times New Roman"/>
                  <w:sz w:val="18"/>
                  <w:szCs w:val="18"/>
                  <w:color w:val="0000FF"/>
                </w:rPr>
                <w:t>DEL holdings, LLC and Swedish Orphan Biovitrum AB (publ)</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50">
              <w:r>
                <w:rPr>
                  <w:rFonts w:ascii="Times New Roman" w:cs="Times New Roman" w:eastAsia="Times New Roman" w:hAnsi="Times New Roman"/>
                  <w:sz w:val="18"/>
                  <w:szCs w:val="18"/>
                  <w:color w:val="0000FF"/>
                </w:rPr>
                <w:t>Commercial Supply Agreement, dated December 30, 2020, by</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r>
      <w:tr>
        <w:trPr>
          <w:trHeight w:val="20"/>
        </w:trPr>
        <w:tc>
          <w:tcPr>
            <w:tcW w:w="1020" w:type="dxa"/>
            <w:vAlign w:val="bottom"/>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50">
              <w:r>
                <w:rPr>
                  <w:rFonts w:ascii="Times New Roman" w:cs="Times New Roman" w:eastAsia="Times New Roman" w:hAnsi="Times New Roman"/>
                  <w:sz w:val="18"/>
                  <w:szCs w:val="18"/>
                  <w:color w:val="0000FF"/>
                </w:rPr>
                <w:t>and between the Registrant and Bachem Americas, Inc.</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620" w:type="dxa"/>
            <w:vAlign w:val="bottom"/>
            <w:gridSpan w:val="19"/>
          </w:tcPr>
          <w:p>
            <w:pPr>
              <w:spacing w:after="0"/>
              <w:rPr>
                <w:rFonts w:ascii="Times New Roman" w:cs="Times New Roman" w:eastAsia="Times New Roman" w:hAnsi="Times New Roman"/>
                <w:sz w:val="18"/>
                <w:szCs w:val="18"/>
                <w:color w:val="0000FF"/>
                <w:w w:val="98"/>
              </w:rPr>
            </w:pPr>
            <w:hyperlink r:id="rId551">
              <w:r>
                <w:rPr>
                  <w:rFonts w:ascii="Times New Roman" w:cs="Times New Roman" w:eastAsia="Times New Roman" w:hAnsi="Times New Roman"/>
                  <w:sz w:val="18"/>
                  <w:szCs w:val="18"/>
                  <w:color w:val="0000FF"/>
                  <w:w w:val="98"/>
                </w:rPr>
                <w:t>Sales Agreement, dated as of November 1, 2023 by and between</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020" w:type="dxa"/>
            <w:vAlign w:val="bottom"/>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51">
              <w:r>
                <w:rPr>
                  <w:rFonts w:ascii="Times New Roman" w:cs="Times New Roman" w:eastAsia="Times New Roman" w:hAnsi="Times New Roman"/>
                  <w:sz w:val="18"/>
                  <w:szCs w:val="18"/>
                  <w:color w:val="0000FF"/>
                </w:rPr>
                <w:t>Apellis Pharmaceuticals, Inc. and Cowen and Company, LLC.</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52">
              <w:r>
                <w:rPr>
                  <w:rFonts w:ascii="Times New Roman" w:cs="Times New Roman" w:eastAsia="Times New Roman" w:hAnsi="Times New Roman"/>
                  <w:sz w:val="18"/>
                  <w:szCs w:val="18"/>
                  <w:color w:val="0000FF"/>
                </w:rPr>
                <w:t>Amended and Restated Commercial Supply Agreement, dated</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r>
      <w:tr>
        <w:trPr>
          <w:trHeight w:val="20"/>
        </w:trPr>
        <w:tc>
          <w:tcPr>
            <w:tcW w:w="1020" w:type="dxa"/>
            <w:vAlign w:val="bottom"/>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52">
              <w:r>
                <w:rPr>
                  <w:rFonts w:ascii="Times New Roman" w:cs="Times New Roman" w:eastAsia="Times New Roman" w:hAnsi="Times New Roman"/>
                  <w:sz w:val="18"/>
                  <w:szCs w:val="18"/>
                  <w:color w:val="0000FF"/>
                </w:rPr>
                <w:t>March 10, 2021, by and between the Registrant, Apellis</w:t>
              </w:r>
            </w:hyperlink>
          </w:p>
        </w:tc>
        <w:tc>
          <w:tcPr>
            <w:tcW w:w="5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rFonts w:ascii="Times New Roman" w:cs="Times New Roman" w:eastAsia="Times New Roman" w:hAnsi="Times New Roman"/>
                <w:sz w:val="18"/>
                <w:szCs w:val="18"/>
                <w:color w:val="0000FF"/>
              </w:rPr>
            </w:pPr>
            <w:hyperlink r:id="rId552">
              <w:r>
                <w:rPr>
                  <w:rFonts w:ascii="Times New Roman" w:cs="Times New Roman" w:eastAsia="Times New Roman" w:hAnsi="Times New Roman"/>
                  <w:sz w:val="18"/>
                  <w:szCs w:val="18"/>
                  <w:color w:val="0000FF"/>
                </w:rPr>
                <w:t>Switzerland GmbH and NOF Corporation</w:t>
              </w:r>
            </w:hyperlink>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620" w:type="dxa"/>
            <w:vAlign w:val="bottom"/>
            <w:gridSpan w:val="19"/>
          </w:tcPr>
          <w:p>
            <w:pPr>
              <w:spacing w:after="0"/>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Inducement Stock Incentive Plan</w:t>
              </w:r>
            </w:hyperlink>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S-8</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6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Offer Letter, dated as of December 25, 20202, by and between</w:t>
            </w:r>
          </w:p>
        </w:tc>
        <w:tc>
          <w:tcPr>
            <w:tcW w:w="52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2560" w:type="dxa"/>
            <w:vAlign w:val="bottom"/>
            <w:tcBorders>
              <w:right w:val="single" w:sz="8" w:color="0000FF"/>
            </w:tcBorders>
            <w:gridSpan w:val="6"/>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gridSpan w:val="11"/>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2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the Registrant and Baumal Caroline</w:t>
            </w:r>
          </w:p>
        </w:tc>
        <w:tc>
          <w:tcPr>
            <w:tcW w:w="52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tabs>
          <w:tab w:leader="none" w:pos="1180" w:val="left"/>
          <w:tab w:leader="none" w:pos="3040" w:val="left"/>
        </w:tabs>
        <w:rPr>
          <w:sz w:val="20"/>
          <w:szCs w:val="20"/>
          <w:color w:val="auto"/>
        </w:rPr>
      </w:pPr>
      <w:r>
        <w:rPr>
          <w:rFonts w:ascii="Times New Roman" w:cs="Times New Roman" w:eastAsia="Times New Roman" w:hAnsi="Times New Roman"/>
          <w:sz w:val="18"/>
          <w:szCs w:val="18"/>
          <w:color w:val="auto"/>
        </w:rPr>
        <w:t>333-220941</w:t>
      </w:r>
      <w:r>
        <w:rPr>
          <w:sz w:val="20"/>
          <w:szCs w:val="20"/>
          <w:color w:val="auto"/>
        </w:rPr>
        <w:tab/>
      </w:r>
      <w:r>
        <w:rPr>
          <w:rFonts w:ascii="Times New Roman" w:cs="Times New Roman" w:eastAsia="Times New Roman" w:hAnsi="Times New Roman"/>
          <w:sz w:val="18"/>
          <w:szCs w:val="18"/>
          <w:color w:val="auto"/>
        </w:rPr>
        <w:t>10/13/2017</w:t>
      </w:r>
      <w:r>
        <w:rPr>
          <w:sz w:val="20"/>
          <w:szCs w:val="20"/>
          <w:color w:val="auto"/>
        </w:rPr>
        <w:tab/>
      </w:r>
      <w:r>
        <w:rPr>
          <w:rFonts w:ascii="Times New Roman" w:cs="Times New Roman" w:eastAsia="Times New Roman" w:hAnsi="Times New Roman"/>
          <w:sz w:val="17"/>
          <w:szCs w:val="17"/>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2/28/2022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10/13/2017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4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10/30/2017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333-220941</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10/20/2017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11/5/2019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6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7/31/2019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6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65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66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2/25/2020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11/01/2023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4/28/2022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6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333-236710</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2/27/2020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bl>
    <w:p>
      <w:pPr>
        <w:spacing w:after="0" w:line="6"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X</w:t>
      </w:r>
    </w:p>
    <w:p>
      <w:pPr>
        <w:sectPr>
          <w:pgSz w:w="11900" w:h="16838" w:orient="portrait"/>
          <w:cols w:equalWidth="0" w:num="2">
            <w:col w:w="6160" w:space="540"/>
            <w:col w:w="4020"/>
          </w:cols>
          <w:pgMar w:left="320" w:top="755" w:right="85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5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10.30+</w:t>
            </w:r>
          </w:p>
        </w:tc>
        <w:tc>
          <w:tcPr>
            <w:tcW w:w="5380" w:type="dxa"/>
            <w:vAlign w:val="bottom"/>
            <w:gridSpan w:val="17"/>
          </w:tcPr>
          <w:p>
            <w:pPr>
              <w:spacing w:after="0" w:line="195"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 xml:space="preserve">Offer Letter, dated as of November 16, 2018, by and between the </w:t>
              </w:r>
            </w:hyperlink>
            <w:r>
              <w:rPr>
                <w:rFonts w:ascii="Times New Roman" w:cs="Times New Roman" w:eastAsia="Times New Roman" w:hAnsi="Times New Roman"/>
                <w:sz w:val="18"/>
                <w:szCs w:val="18"/>
                <w:color w:val="000000"/>
              </w:rPr>
              <w:t>10-K</w:t>
            </w:r>
          </w:p>
        </w:tc>
        <w:tc>
          <w:tcPr>
            <w:tcW w:w="1300" w:type="dxa"/>
            <w:vAlign w:val="bottom"/>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200"/>
              <w:spacing w:after="0" w:line="195" w:lineRule="exact"/>
              <w:rPr>
                <w:sz w:val="20"/>
                <w:szCs w:val="20"/>
                <w:color w:val="auto"/>
              </w:rPr>
            </w:pPr>
            <w:r>
              <w:rPr>
                <w:rFonts w:ascii="Times New Roman" w:cs="Times New Roman" w:eastAsia="Times New Roman" w:hAnsi="Times New Roman"/>
                <w:sz w:val="18"/>
                <w:szCs w:val="18"/>
                <w:color w:val="auto"/>
              </w:rPr>
              <w:t>2/28/2022</w:t>
            </w:r>
          </w:p>
        </w:tc>
        <w:tc>
          <w:tcPr>
            <w:tcW w:w="1580" w:type="dxa"/>
            <w:vAlign w:val="bottom"/>
          </w:tcPr>
          <w:p>
            <w:pPr>
              <w:jc w:val="right"/>
              <w:ind w:right="564"/>
              <w:spacing w:after="0" w:line="195" w:lineRule="exact"/>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Registrant and Adam Townsend</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4680" w:type="dxa"/>
            <w:vAlign w:val="bottom"/>
            <w:gridSpan w:val="16"/>
          </w:tcPr>
          <w:p>
            <w:pPr>
              <w:spacing w:after="0"/>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Form of Exchange Agreement</w:t>
              </w:r>
            </w:hyperlink>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7/8/2021</w:t>
            </w:r>
          </w:p>
        </w:tc>
        <w:tc>
          <w:tcPr>
            <w:tcW w:w="1580" w:type="dxa"/>
            <w:vAlign w:val="bottom"/>
          </w:tcPr>
          <w:p>
            <w:pPr>
              <w:jc w:val="right"/>
              <w:ind w:right="564"/>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4680" w:type="dxa"/>
            <w:vAlign w:val="bottom"/>
            <w:gridSpan w:val="16"/>
          </w:tcPr>
          <w:p>
            <w:pPr>
              <w:spacing w:after="0"/>
              <w:rPr>
                <w:rFonts w:ascii="Times New Roman" w:cs="Times New Roman" w:eastAsia="Times New Roman" w:hAnsi="Times New Roman"/>
                <w:sz w:val="18"/>
                <w:szCs w:val="18"/>
                <w:color w:val="0000FF"/>
              </w:rPr>
            </w:pPr>
            <w:hyperlink r:id="rId557">
              <w:r>
                <w:rPr>
                  <w:rFonts w:ascii="Times New Roman" w:cs="Times New Roman" w:eastAsia="Times New Roman" w:hAnsi="Times New Roman"/>
                  <w:sz w:val="18"/>
                  <w:szCs w:val="18"/>
                  <w:color w:val="0000FF"/>
                </w:rPr>
                <w:t>Form of Restricted Stock Unit Agreement under the 2017 Stock</w:t>
              </w:r>
            </w:hyperlink>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001-38276</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2/21/2023</w:t>
            </w:r>
          </w:p>
        </w:tc>
        <w:tc>
          <w:tcPr>
            <w:tcW w:w="1580" w:type="dxa"/>
            <w:vAlign w:val="bottom"/>
          </w:tcPr>
          <w:p>
            <w:pPr>
              <w:jc w:val="right"/>
              <w:ind w:right="564"/>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rFonts w:ascii="Times New Roman" w:cs="Times New Roman" w:eastAsia="Times New Roman" w:hAnsi="Times New Roman"/>
                <w:sz w:val="18"/>
                <w:szCs w:val="18"/>
                <w:color w:val="0000FF"/>
              </w:rPr>
            </w:pPr>
            <w:hyperlink r:id="rId557">
              <w:r>
                <w:rPr>
                  <w:rFonts w:ascii="Times New Roman" w:cs="Times New Roman" w:eastAsia="Times New Roman" w:hAnsi="Times New Roman"/>
                  <w:sz w:val="18"/>
                  <w:szCs w:val="18"/>
                  <w:color w:val="0000FF"/>
                </w:rPr>
                <w:t>Incentive Plan</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line="20" w:lineRule="exact"/>
              <w:rPr>
                <w:sz w:val="1"/>
                <w:szCs w:val="1"/>
                <w:color w:val="auto"/>
              </w:rPr>
            </w:pPr>
          </w:p>
        </w:tc>
      </w:tr>
      <w:tr>
        <w:trPr>
          <w:trHeight w:val="23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line="20" w:lineRule="exact"/>
              <w:rPr>
                <w:sz w:val="1"/>
                <w:szCs w:val="1"/>
                <w:color w:val="auto"/>
              </w:rPr>
            </w:pPr>
          </w:p>
        </w:tc>
      </w:tr>
      <w:tr>
        <w:trPr>
          <w:trHeight w:val="23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Rules 13a-14(a) and 15d-14(a) under the Securities Exchange</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Act of 1934, as Adopted Pursuant to Section 302 of the</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w w:val="99"/>
              </w:rPr>
              <w:t>1934, as Adopted Pursuant to Section 302 of the Sarbanes-Oxley</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0" w:type="dxa"/>
            <w:vAlign w:val="bottom"/>
            <w:tcBorders>
              <w:right w:val="single" w:sz="8" w:color="0000FF"/>
            </w:tcBorders>
            <w:gridSpan w:val="8"/>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0" w:type="dxa"/>
            <w:vAlign w:val="bottom"/>
            <w:tcBorders>
              <w:right w:val="single" w:sz="8" w:color="0000FF"/>
            </w:tcBorders>
            <w:gridSpan w:val="8"/>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gridSpan w:val="4"/>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 U.S.C.</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0" w:type="dxa"/>
            <w:vAlign w:val="bottom"/>
            <w:tcBorders>
              <w:right w:val="single" w:sz="8" w:color="0000FF"/>
            </w:tcBorders>
            <w:gridSpan w:val="8"/>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0" w:type="dxa"/>
            <w:vAlign w:val="bottom"/>
            <w:tcBorders>
              <w:right w:val="single" w:sz="8" w:color="0000FF"/>
            </w:tcBorders>
            <w:gridSpan w:val="8"/>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6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20"/>
                <w:szCs w:val="20"/>
                <w:color w:val="auto"/>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gridSpan w:val="4"/>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Dodd-Frank Compensation Recovery Policy</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0" w:type="dxa"/>
            <w:vAlign w:val="bottom"/>
            <w:tcBorders>
              <w:right w:val="single" w:sz="8" w:color="0000EE"/>
            </w:tcBorders>
            <w:gridSpan w:val="8"/>
            <w:shd w:val="clear" w:color="auto" w:fill="0000FF"/>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not appear in the Interactive Data File because its XBRL tags are</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0" w:right="5340" w:hanging="979"/>
        <w:spacing w:after="0" w:line="275" w:lineRule="auto"/>
        <w:tabs>
          <w:tab w:leader="none" w:pos="10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5"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601(b)(2) of Regulation S-K, the Registrant agrees to furnish supplementally a copy of any omitted schedule or exhibit to the Asset Purchase Agreement to the Securities and Exchange Commission upon request.</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as to certain portions, which portions have been omitted and separately filed with the Securities and Exchange Commission.</w:t>
      </w:r>
    </w:p>
    <w:p>
      <w:pPr>
        <w:ind w:right="40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pursuant to Item 601(b)(10)(iv) of Regulation S-K.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11899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55" w:right="5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51" w:lineRule="exact"/>
        <w:rPr>
          <w:sz w:val="20"/>
          <w:szCs w:val="20"/>
          <w:color w:val="auto"/>
        </w:rPr>
      </w:pPr>
    </w:p>
    <w:p>
      <w:pPr>
        <w:ind w:left="20"/>
        <w:spacing w:after="0"/>
        <w:tabs>
          <w:tab w:leader="none" w:pos="6320" w:val="left"/>
          <w:tab w:leader="none" w:pos="836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26035</wp:posOffset>
            </wp:positionV>
            <wp:extent cx="277431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2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8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6"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Cedric Francois</w:t>
      </w:r>
    </w:p>
    <w:p>
      <w:pPr>
        <w:spacing w:after="0" w:line="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 Timothy E. Sullivan</w:t>
      </w:r>
    </w:p>
    <w:p>
      <w:pPr>
        <w:spacing w:after="0" w:line="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Jim Chopas</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Jim Chopas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Gerald Chan</w:t>
      </w:r>
    </w:p>
    <w:p>
      <w:pPr>
        <w:spacing w:after="0" w:line="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Gerald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A. Sinclair Dunlop</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A. Sinclair Dunlop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Alec Machiels</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Alec Machiels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 Stephanie M. O’Brien</w:t>
      </w:r>
    </w:p>
    <w:p>
      <w:pPr>
        <w:spacing w:after="0" w:line="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Stephanie 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9">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3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Paul Fonteyne</w:t>
      </w:r>
    </w:p>
    <w:p>
      <w:pPr>
        <w:spacing w:after="0" w:line="3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Paul Fonteyne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354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0">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(Principal Financial Officer)</w:t>
      </w:r>
      <w:r>
        <w:rPr>
          <w:sz w:val="20"/>
          <w:szCs w:val="20"/>
          <w:color w:val="auto"/>
        </w:rPr>
        <w:tab/>
      </w: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62" w:lineRule="exact"/>
        <w:rPr>
          <w:sz w:val="20"/>
          <w:szCs w:val="20"/>
          <w:color w:val="auto"/>
        </w:rPr>
      </w:pPr>
    </w:p>
    <w:p>
      <w:pPr>
        <w:ind w:right="2960" w:firstLine="42"/>
        <w:spacing w:after="0" w:line="260" w:lineRule="auto"/>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p>
      <w:pPr>
        <w:spacing w:after="0" w:line="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(Principal Accounting Officer)</w:t>
      </w:r>
      <w:r>
        <w:rPr>
          <w:sz w:val="20"/>
          <w:szCs w:val="20"/>
          <w:color w:val="auto"/>
        </w:rPr>
        <w:tab/>
      </w: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436" w:lineRule="exact"/>
        <w:rPr>
          <w:sz w:val="20"/>
          <w:szCs w:val="20"/>
          <w:color w:val="auto"/>
        </w:rPr>
      </w:pPr>
    </w:p>
    <w:p>
      <w:pPr>
        <w:sectPr>
          <w:pgSz w:w="11900" w:h="16838" w:orient="portrait"/>
          <w:cols w:equalWidth="0" w:num="2">
            <w:col w:w="3140" w:space="720"/>
            <w:col w:w="7260"/>
          </w:cols>
          <w:pgMar w:left="320" w:top="769" w:right="459" w:bottom="1440" w:gutter="0" w:footer="0" w:header="0"/>
          <w:type w:val="continuous"/>
        </w:sect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type w:val="continuous"/>
        </w:sectPr>
      </w:pPr>
    </w:p>
    <w:bookmarkStart w:id="161" w:name="page162"/>
    <w:bookmarkEnd w:id="161"/>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499745</wp:posOffset>
            </wp:positionV>
            <wp:extent cx="1960880" cy="6248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1960880" cy="6248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100 5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 617.977.5700</w:t>
      </w:r>
    </w:p>
    <w:p>
      <w:pPr>
        <w:spacing w:after="0" w:line="200" w:lineRule="exact"/>
        <w:rPr>
          <w:sz w:val="20"/>
          <w:szCs w:val="20"/>
          <w:color w:val="auto"/>
        </w:rPr>
      </w:pPr>
    </w:p>
    <w:p>
      <w:pPr>
        <w:spacing w:after="0" w:line="277"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Revised December 25, 2022</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Caroline Baumal, M.D. 326 Highland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Street West Newton, MA 02465</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cbaumal@ gmail.com</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Dear Caroline:</w:t>
      </w:r>
    </w:p>
    <w:p>
      <w:pPr>
        <w:spacing w:after="0" w:line="257"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We are pleased to extend you an offer to join Apellis Pharmaceuticals, Inc. (“Apellis” or the “Company) as Chief Medical Officer. You will be responsible for developing and executing the Medical Affairs strategy in support of our overall business plan and strategic direction. You will lead the Company’s external medical messaging and engagement with key opinion leaders, health care professionals, the patient community and other stakeholders; representing the Company at medical, scientific and investor forums; strategic leadership in support of the Company’s business plan; oversight of the medical affairs division and personnel. You will be responsible for the entire product portfolio, including ophthalmology, rare disease, and future therapeutic areas of focus. All employees in the medical affairs function will report to you as the Chief Medical Officer. You will provide input to all portfolio decisions at Apellis.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You will work from our offices in the Waltham area, with travel as may be reasonably required from time to time to properly fulfill your employment duties and responsibilities. You will report to the Chief Executive Officer.</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Subject to satisfaction of the conditions described in this letter, you will begin employment on, or before, January 3, 2023 (or another mutually acceptable start date). From your start date until January 31, 2023, you will be permitted to wind down your current medical practice and otherwise transition your current employment duties in a manner consistent with your professional obligations, on such terms as mutually agreed with senior management of the Company. On and after February 1, 2023, you may continue to provide up to one day per week of patient care, outside of normal business hours for the Company, on such terms as mutually agreed with senior management of the Company.</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You may continue to participate in the speaking engagements and consulting services outlined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to this offer letter and incorporated by reference), so long as your time spent on these matters is outside of normal business hours and does not interfere with the performance of your duties with the Company, subject to ongoing assessment by you and the Company to ensure that there is no impact on the Company or its business. You have represented and certified that these speaking engagements and consulting services are not competitive with the present or currently planned business of the Company. The Company acknowledges and agrees that, notwithstanding any other agreements being entered into by you with the Company, that the Company has no right, claim, or interest 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201930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40" w:right="459" w:bottom="1440" w:gutter="0" w:footer="0" w:header="0"/>
        </w:sectPr>
      </w:pPr>
    </w:p>
    <w:bookmarkStart w:id="162" w:name="page163"/>
    <w:bookmarkEnd w:id="162"/>
    <w:p>
      <w:pPr>
        <w:jc w:val="both"/>
        <w:ind w:right="20"/>
        <w:spacing w:after="0" w:line="272" w:lineRule="auto"/>
        <w:rPr>
          <w:sz w:val="20"/>
          <w:szCs w:val="20"/>
          <w:color w:val="auto"/>
        </w:rPr>
      </w:pPr>
      <w:r>
        <w:rPr>
          <w:rFonts w:ascii="Arial" w:cs="Arial" w:eastAsia="Arial" w:hAnsi="Arial"/>
          <w:sz w:val="21"/>
          <w:szCs w:val="21"/>
          <w:color w:val="auto"/>
        </w:rPr>
        <w:t>to any intellectual property rights or trade secrets related to or arising from any such consulting services provided by you to such third parties.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Otherwise, you agree to devote substantially all your full business time, attention, and commercially reasonable efforts to the performance of your duties and to the furtherance of the Company’s interests. During the period of your employment, you agree not to engage in any other employment, consulting or other business activity that is currently or potentially competitive, or that represents a conflict of interest, with the current or planned business of the Company without the prior written consent of the Company. You may continue to engage in patient care activities, consulting and other business activities that are not competitive and that do not represent a conflict of interest with the business of the Company, provided any such activities shall (x) not conflict or materially interfere with the effective discharge of your duties and responsibilities to the Company, (y) not be provided during the Company’s regular business hours or on Company premises or using any of the Company’s property or equipment, and (z) be conducted strictly in accordance with applicable laws, regulations, and professional standards (including those regarding disclosure of financial or professional interest). You must disclose any outside engagements or business activities to the Company on a periodic basis. Any exceptions must be approved in writing by the Chief Executive Officer after consultation with the Board of Directors.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Your initial salary will be an annualized base salary of $575,000 paid in accordance with our standard payroll practices and subject to all withholdings and deductions as required by law. You will also be eligible to participate in the 2023 Apellis Bonus Program on a pro-rated basis from your start date with an annual target bonus of 45% of your annualized base salary. All bonus payments, if any, will be pro-rated from your start date and are subject to the approval of the Board of Directors based upon company, departmental, and individual performance. You must remain employed with the Company through the date of the bonus payment to receive such payment.</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You will be eligible for Apellis’ standard benefits package offered to every full-time employee, which includes health insurance, LTD/ADD/life insurance, and 401(k). You will be reimbursed for travel and other expenses in accordance with our reimbursement policy. You will be eligible for Apellis’ Flexible Time Off program, which does not restrict employees to a specific number of personal or vacation days. Apellis reserves the right to amend, modify or terminate any of its benefit plans, policies or programs at any time and for any reason.</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 will be eligible for a sign-on bonus in the amount of $250,000 paid in two installments. The first payment of $125,000 will be paid with your first payroll and subject to all withholdings and deductions as required by law. Upon the one-year anniversary of your date of hire, you will be eligible for the second sign-on in the amount of $125,000 and subject to all withholdings and deductions as required by law. If Apellis is acquired prior to one year of service, or you are terminated by Apellis without “Cause” or you resign for “Good Reason” (as such terms are defined in the Executive Separation Benefits and Retention Plan, with the modifications noted herein), the second payment will be accelerated and payable on the effective date of any Change in Control or your last date of employment, as applicable. If you leave Apellis prior to your first anniversary you will be required to pay back this bonus in full, other than in the case of a reduction in force or termination without cause or you resign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593725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16" w:right="459" w:bottom="1440" w:gutter="0" w:footer="0" w:header="0"/>
        </w:sectPr>
      </w:pPr>
    </w:p>
    <w:bookmarkStart w:id="163" w:name="page164"/>
    <w:bookmarkEnd w:id="163"/>
    <w:p>
      <w:pPr>
        <w:jc w:val="both"/>
        <w:spacing w:after="0" w:line="251" w:lineRule="auto"/>
        <w:rPr>
          <w:sz w:val="20"/>
          <w:szCs w:val="20"/>
          <w:color w:val="auto"/>
        </w:rPr>
      </w:pPr>
      <w:r>
        <w:rPr>
          <w:rFonts w:ascii="Arial" w:cs="Arial" w:eastAsia="Arial" w:hAnsi="Arial"/>
          <w:sz w:val="21"/>
          <w:szCs w:val="21"/>
          <w:color w:val="auto"/>
        </w:rPr>
        <w:t>You will be eligible to receive separation benefits under the terms and conditions of our Executive Separation Benefits and Retention Plan, adopted on October 1, 2019 (the “Separation Benefits Plan”), a copy of which is provided for your reference. All forms of cash compensation paid to you as an employee pursuant to this offer letter or the Separation Benefits Plan shall be less all applicable withholdings.</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Subject to the approval of the Board of Directors, you will receive a grant of 35,549 Restricted Stock Units (RSUs) and an option to purchase 49,000 shares of Common Stock at an exercise price equal to the fair market value as determined by the Board at the time of the grant, with such option to vest in equal monthly installments over four years from the Grant Date, subject to a one-year vesting cliff. The RSUs will vest over four years with 25% of the RSUs vesting on the first anniversary of the Grant Date and 25% on each anniversary of the Grant Date thereafter. The Grant Date will be the first trading day of the month following your date of hire. The terms of these grants will be set forth in one or more agreements and shall be subject to the provisions of the Separation Benefits Plan, except as agreed herein.</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Along with this letter, you are being provided a copy of the Apellis Executive Separation Benefits and Retention Plan. You will be entitled to the benefits and rights of a C-Level Officer under this plan. If the Company determines that geographic atrophy will no longer be a strategic focus (whether because the Company does not get approval for intravitreal pegcetacoplan as a treatment for geographic atrophy or for any other reason), or if you are required to relocate more than 20 miles from Waltham, Massachusetts, these circumstances would also constitute a "Good Reason" termination event with respect to the sign-on bonus described above and the provisions of the Executive Separation Benefits and Retention Plan.</w:t>
      </w:r>
    </w:p>
    <w:p>
      <w:pPr>
        <w:spacing w:after="0" w:line="209" w:lineRule="exact"/>
        <w:rPr>
          <w:sz w:val="20"/>
          <w:szCs w:val="20"/>
          <w:color w:val="auto"/>
        </w:rPr>
      </w:pPr>
    </w:p>
    <w:p>
      <w:pPr>
        <w:jc w:val="both"/>
        <w:ind w:right="20"/>
        <w:spacing w:after="0" w:line="272" w:lineRule="auto"/>
        <w:rPr>
          <w:sz w:val="20"/>
          <w:szCs w:val="20"/>
          <w:color w:val="auto"/>
        </w:rPr>
      </w:pPr>
      <w:r>
        <w:rPr>
          <w:rFonts w:ascii="Arial" w:cs="Arial" w:eastAsia="Arial" w:hAnsi="Arial"/>
          <w:sz w:val="21"/>
          <w:szCs w:val="21"/>
          <w:color w:val="auto"/>
        </w:rPr>
        <w:t>You will also be subject to the provisions of our Stock Ownership Guidelines and Recoupment Policy, which are also provided.</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This offer letter is intended to comply with Section 409A of the Internal Revenue Code (“Section 409A”) or an exemption thereunder and shall be construed and administered in accordance with Section 409A. Notwithstanding any other provision of this offer letter, payments provided under this offer letter may only be made upon an event and in a manner that complies with Section 409A or an applicable exemption. Any payments under this offer letter that may be excluded from Section 409A either as separation pay due to an involuntary separation from service or a short-term deferral shall be excluded from Section 409A to the maximum extent possible. For purposes of Section 409A, any installment payment provided under this offer letter shall be treated as a separate payment. Any payments to be made under this offer letter upon a termination of employment shall only be made upon a “separation from service” under Section 409A. Notwithstanding the foregoing, the Company makes no representations that the payments and benefits provided under this offer letter comply with Section 409A and in no event shall the Company be liable for all or any portion of any taxes, penalties, interest or other expenses that may be incurred by you on account of non-compliance with Section 409A. If any payment or benefit provided to you in connection with termination of employment is determined to constitute “nonqualified deferred compensation” and you are determined to be a “specified employee,” in each case within the meaning of Section 409A, the Company agrees to negotiate with you in good faith to appropriately and lawfully modify the contractual terms relating to such payment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598170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16" w:right="459" w:bottom="1440" w:gutter="0" w:footer="0" w:header="0"/>
        </w:sectPr>
      </w:pPr>
    </w:p>
    <w:bookmarkStart w:id="164" w:name="page165"/>
    <w:bookmarkEnd w:id="164"/>
    <w:p>
      <w:pPr>
        <w:jc w:val="both"/>
        <w:ind w:left="120"/>
        <w:spacing w:after="0" w:line="256" w:lineRule="auto"/>
        <w:rPr>
          <w:sz w:val="20"/>
          <w:szCs w:val="20"/>
          <w:color w:val="auto"/>
        </w:rPr>
      </w:pPr>
      <w:r>
        <w:rPr>
          <w:rFonts w:ascii="Arial" w:cs="Arial" w:eastAsia="Arial" w:hAnsi="Arial"/>
          <w:sz w:val="21"/>
          <w:szCs w:val="21"/>
          <w:color w:val="auto"/>
        </w:rPr>
        <w:t>On your first day of employment, you will be given additional information about our procedures, policies, and benefit programs. We will require you, as a condition of employment, to verify your right to work in the United States and to enter into the standard noncompetition, nondisclosure, and development agreement on your first day of employment.</w:t>
      </w:r>
    </w:p>
    <w:p>
      <w:pPr>
        <w:spacing w:after="0" w:line="198" w:lineRule="exact"/>
        <w:rPr>
          <w:sz w:val="20"/>
          <w:szCs w:val="20"/>
          <w:color w:val="auto"/>
        </w:rPr>
      </w:pPr>
    </w:p>
    <w:p>
      <w:pPr>
        <w:jc w:val="both"/>
        <w:ind w:left="120"/>
        <w:spacing w:after="0" w:line="247" w:lineRule="auto"/>
        <w:rPr>
          <w:sz w:val="20"/>
          <w:szCs w:val="20"/>
          <w:color w:val="auto"/>
        </w:rPr>
      </w:pPr>
      <w:r>
        <w:rPr>
          <w:rFonts w:ascii="Arial" w:cs="Arial" w:eastAsia="Arial" w:hAnsi="Arial"/>
          <w:sz w:val="21"/>
          <w:szCs w:val="21"/>
          <w:color w:val="auto"/>
        </w:rPr>
        <w:t>By signing below, you represent that (i) your employment with the Company and your execution of this offer letter does not and will not violate or conflict with agreements you may have with any former employer and (ii) you have provided the Company with all written agreements that describe any continuing post-employment obligations to any former employer. Your employment will be at will, and this letter does not represent any guarantee of employment for any period. If you wish to resign from your employment with the Company, we request not less than 15 calendar days’ written notice.</w:t>
      </w:r>
    </w:p>
    <w:p>
      <w:pPr>
        <w:spacing w:after="0" w:line="208" w:lineRule="exact"/>
        <w:rPr>
          <w:sz w:val="20"/>
          <w:szCs w:val="20"/>
          <w:color w:val="auto"/>
        </w:rPr>
      </w:pPr>
    </w:p>
    <w:p>
      <w:pPr>
        <w:jc w:val="both"/>
        <w:ind w:left="120"/>
        <w:spacing w:after="0" w:line="244" w:lineRule="auto"/>
        <w:rPr>
          <w:sz w:val="20"/>
          <w:szCs w:val="20"/>
          <w:color w:val="auto"/>
        </w:rPr>
      </w:pPr>
      <w:r>
        <w:rPr>
          <w:rFonts w:ascii="Arial" w:cs="Arial" w:eastAsia="Arial" w:hAnsi="Arial"/>
          <w:sz w:val="21"/>
          <w:szCs w:val="21"/>
          <w:color w:val="auto"/>
        </w:rPr>
        <w:t>This offer letter, along with the agreements regarding stock options and RSUs, the non- competition, non-solicitation, nondisclosure and development agreement, the separation benefits plan, the stock ownership guidelines and the recoupment policy, constitute the complete agreement between you and the Company, contain all the terms of your employment, and supersede any prior agreements, representation or understanding (whether written, oral or implied) between you and the Company. The terms of this offer letter and the resolution of any disputes as to the meaning, effect, performance or validity of this offer letter or arising out of, related to, or in any way connected with, this offer letter, your employment with the Company or any other relationship between you and the Company (the “Disputes”) will be governed by Massachusetts law, excluding laws relating to conflict of choice of law. You and the Company agree to submit to the exclusive personal jurisdiction of the federal and state courts located in the Commonwealth of Massachusetts in connection with any dispute or any claim related to any dispute.</w:t>
      </w:r>
    </w:p>
    <w:p>
      <w:pPr>
        <w:spacing w:after="0" w:line="215"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21"/>
          <w:szCs w:val="21"/>
          <w:color w:val="auto"/>
        </w:rPr>
        <w:t>This offer will expire at the close of business, December 26, 2022, unless accepted by you prior to that time. This offer and your continued employment is contingent upon the successful completion of a background check and satisfactory reference check.</w:t>
      </w:r>
    </w:p>
    <w:p>
      <w:pPr>
        <w:spacing w:after="0" w:line="171" w:lineRule="exact"/>
        <w:rPr>
          <w:sz w:val="20"/>
          <w:szCs w:val="20"/>
          <w:color w:val="auto"/>
        </w:rPr>
      </w:pPr>
    </w:p>
    <w:p>
      <w:pPr>
        <w:jc w:val="both"/>
        <w:ind w:left="120"/>
        <w:spacing w:after="0" w:line="272" w:lineRule="auto"/>
        <w:rPr>
          <w:sz w:val="20"/>
          <w:szCs w:val="20"/>
          <w:color w:val="auto"/>
        </w:rPr>
      </w:pPr>
      <w:r>
        <w:rPr>
          <w:rFonts w:ascii="Arial" w:cs="Arial" w:eastAsia="Arial" w:hAnsi="Arial"/>
          <w:sz w:val="21"/>
          <w:szCs w:val="21"/>
          <w:color w:val="auto"/>
        </w:rPr>
        <w:t>We are excited at the prospect of your joining our team. Feel free to contact me if you have questions or if you need any additional information.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21"/>
          <w:szCs w:val="21"/>
          <w:color w:val="auto"/>
        </w:rPr>
        <w:t>Karen Lewis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Chief People Officer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Apellis Pharmaceuticals, Inc. ACCEPTED AND AGREED:</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1"/>
          <w:szCs w:val="21"/>
          <w:color w:val="auto"/>
        </w:rPr>
        <w:t>Name : Caroline Baumal, M.D.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12/25/2022</w:t>
      </w:r>
      <w:r>
        <w:rPr>
          <w:rFonts w:ascii="Arial" w:cs="Arial" w:eastAsia="Arial" w:hAnsi="Arial"/>
          <w:sz w:val="20"/>
          <w:szCs w:val="20"/>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623570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-5080</wp:posOffset>
            </wp:positionV>
            <wp:extent cx="2660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ectPr>
          <w:pgSz w:w="11900" w:h="16838" w:orient="portrait"/>
          <w:cols w:equalWidth="0" w:num="1">
            <w:col w:w="11060"/>
          </w:cols>
          <w:pgMar w:left="380" w:top="1416" w:right="45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auto"/>
        </w:rPr>
        <w:t>EXHIBIT A</w:t>
      </w:r>
    </w:p>
    <w:p>
      <w:pPr>
        <w:spacing w:after="0" w:line="230"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Approved Outside Activities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Speaking Engagements</w:t>
      </w:r>
    </w:p>
    <w:p>
      <w:pPr>
        <w:spacing w:after="0" w:line="230"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20"/>
          <w:szCs w:val="20"/>
          <w:color w:val="auto"/>
        </w:rPr>
        <w:t>Hawaii Retina (January 16-19, 2023)</w:t>
      </w:r>
    </w:p>
    <w:p>
      <w:pPr>
        <w:spacing w:after="0" w:line="21" w:lineRule="exact"/>
        <w:rPr>
          <w:sz w:val="20"/>
          <w:szCs w:val="20"/>
          <w:color w:val="auto"/>
        </w:rPr>
      </w:pPr>
    </w:p>
    <w:p>
      <w:pPr>
        <w:ind w:left="1500" w:right="140"/>
        <w:spacing w:after="0" w:line="241" w:lineRule="auto"/>
        <w:rPr>
          <w:sz w:val="20"/>
          <w:szCs w:val="20"/>
          <w:color w:val="auto"/>
        </w:rPr>
      </w:pPr>
      <w:r>
        <w:rPr>
          <w:rFonts w:ascii="Arial" w:cs="Arial" w:eastAsia="Arial" w:hAnsi="Arial"/>
          <w:sz w:val="21"/>
          <w:szCs w:val="21"/>
          <w:color w:val="auto"/>
        </w:rPr>
        <w:t>Moderator-Pediatric retina/tumor/uveitis, talk-pediatric retinal detachment Will be working with the Apellis team</w:t>
      </w:r>
    </w:p>
    <w:p>
      <w:pPr>
        <w:ind w:left="360"/>
        <w:spacing w:after="0"/>
        <w:tabs>
          <w:tab w:leader="none" w:pos="720" w:val="left"/>
        </w:tabs>
        <w:rPr>
          <w:sz w:val="20"/>
          <w:szCs w:val="20"/>
          <w:color w:val="auto"/>
        </w:rPr>
      </w:pPr>
      <w:r>
        <w:rPr>
          <w:rFonts w:ascii="Arial" w:cs="Arial" w:eastAsia="Arial" w:hAnsi="Arial"/>
          <w:sz w:val="21"/>
          <w:szCs w:val="21"/>
          <w:color w:val="auto"/>
        </w:rPr>
        <w:t>2.</w:t>
      </w:r>
      <w:r>
        <w:rPr>
          <w:sz w:val="20"/>
          <w:szCs w:val="20"/>
          <w:color w:val="auto"/>
        </w:rPr>
        <w:tab/>
      </w:r>
      <w:r>
        <w:rPr>
          <w:rFonts w:ascii="Arial" w:cs="Arial" w:eastAsia="Arial" w:hAnsi="Arial"/>
          <w:sz w:val="20"/>
          <w:szCs w:val="20"/>
          <w:color w:val="auto"/>
        </w:rPr>
        <w:t>Fuji Retina (Tokyo, March 25-26, 2023)</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Talks-Complement inhibition in GA and pediatric retinal detachment</w:t>
      </w:r>
    </w:p>
    <w:p>
      <w:pPr>
        <w:spacing w:after="0" w:line="1" w:lineRule="exact"/>
        <w:rPr>
          <w:sz w:val="20"/>
          <w:szCs w:val="20"/>
          <w:color w:val="auto"/>
        </w:rPr>
      </w:pPr>
    </w:p>
    <w:p>
      <w:pPr>
        <w:ind w:left="820" w:hanging="454"/>
        <w:spacing w:after="0"/>
        <w:tabs>
          <w:tab w:leader="none" w:pos="8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Macula Society (February 23, 2023)</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Talk- Update on TKI inhibitor for wet AMD</w:t>
      </w:r>
    </w:p>
    <w:p>
      <w:pPr>
        <w:spacing w:after="0" w:line="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4.</w:t>
      </w:r>
      <w:r>
        <w:rPr>
          <w:sz w:val="20"/>
          <w:szCs w:val="20"/>
          <w:color w:val="auto"/>
        </w:rPr>
        <w:tab/>
      </w:r>
      <w:r>
        <w:rPr>
          <w:rFonts w:ascii="Arial" w:cs="Arial" w:eastAsia="Arial" w:hAnsi="Arial"/>
          <w:sz w:val="20"/>
          <w:szCs w:val="20"/>
          <w:color w:val="auto"/>
        </w:rPr>
        <w:t>Angiogenesis – Virtual (February 10-11, 2023)</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Talk- update on faricimab (for diabetic Macular edema and wet AMD)</w:t>
      </w:r>
    </w:p>
    <w:p>
      <w:pPr>
        <w:spacing w:after="0" w:line="1" w:lineRule="exact"/>
        <w:rPr>
          <w:sz w:val="20"/>
          <w:szCs w:val="20"/>
          <w:color w:val="auto"/>
        </w:rPr>
      </w:pPr>
    </w:p>
    <w:p>
      <w:pPr>
        <w:ind w:left="740" w:hanging="374"/>
        <w:spacing w:after="0"/>
        <w:tabs>
          <w:tab w:leader="none" w:pos="7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Investigator Meeting – (February 10-11, 2023) - Faricimab update</w:t>
      </w:r>
    </w:p>
    <w:p>
      <w:pPr>
        <w:spacing w:after="0" w:line="1" w:lineRule="exact"/>
        <w:rPr>
          <w:rFonts w:ascii="Arial" w:cs="Arial" w:eastAsia="Arial" w:hAnsi="Arial"/>
          <w:sz w:val="21"/>
          <w:szCs w:val="21"/>
          <w:color w:val="auto"/>
        </w:rPr>
      </w:pPr>
    </w:p>
    <w:p>
      <w:pPr>
        <w:ind w:left="740" w:hanging="374"/>
        <w:spacing w:after="0"/>
        <w:tabs>
          <w:tab w:leader="none" w:pos="7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Johns Hopkins - Vail retina meeting</w:t>
      </w:r>
    </w:p>
    <w:p>
      <w:pPr>
        <w:spacing w:after="0" w:line="1" w:lineRule="exact"/>
        <w:rPr>
          <w:sz w:val="20"/>
          <w:szCs w:val="20"/>
          <w:color w:val="auto"/>
        </w:rPr>
      </w:pPr>
    </w:p>
    <w:p>
      <w:pPr>
        <w:ind w:left="740" w:firstLine="66"/>
        <w:spacing w:after="0" w:line="241" w:lineRule="auto"/>
        <w:rPr>
          <w:sz w:val="20"/>
          <w:szCs w:val="20"/>
          <w:color w:val="auto"/>
        </w:rPr>
      </w:pPr>
      <w:r>
        <w:rPr>
          <w:rFonts w:ascii="Arial" w:cs="Arial" w:eastAsia="Arial" w:hAnsi="Arial"/>
          <w:sz w:val="21"/>
          <w:szCs w:val="21"/>
          <w:color w:val="auto"/>
        </w:rPr>
        <w:t>"Faricimab and High-Dose Aflibercept: Newest Anti-VEGF Agents on the Block, "Port Delivery Systems for Retinal Diseases</w:t>
      </w:r>
    </w:p>
    <w:p>
      <w:pPr>
        <w:ind w:left="360"/>
        <w:spacing w:after="0"/>
        <w:tabs>
          <w:tab w:leader="none" w:pos="720" w:val="left"/>
        </w:tabs>
        <w:rPr>
          <w:sz w:val="20"/>
          <w:szCs w:val="20"/>
          <w:color w:val="auto"/>
        </w:rPr>
      </w:pPr>
      <w:r>
        <w:rPr>
          <w:rFonts w:ascii="Arial" w:cs="Arial" w:eastAsia="Arial" w:hAnsi="Arial"/>
          <w:sz w:val="21"/>
          <w:szCs w:val="21"/>
          <w:color w:val="auto"/>
        </w:rPr>
        <w:t>7.</w:t>
      </w:r>
      <w:r>
        <w:rPr>
          <w:sz w:val="20"/>
          <w:szCs w:val="20"/>
          <w:color w:val="auto"/>
        </w:rPr>
        <w:tab/>
      </w:r>
      <w:r>
        <w:rPr>
          <w:rFonts w:ascii="Arial" w:cs="Arial" w:eastAsia="Arial" w:hAnsi="Arial"/>
          <w:sz w:val="20"/>
          <w:szCs w:val="20"/>
          <w:color w:val="auto"/>
        </w:rPr>
        <w:t>Wade Hanson meeting (Boston February 23, 2023) – Complement in GA</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Consulting Engagements</w:t>
      </w:r>
    </w:p>
    <w:p>
      <w:pPr>
        <w:spacing w:after="0" w:line="200" w:lineRule="exact"/>
        <w:rPr>
          <w:sz w:val="20"/>
          <w:szCs w:val="20"/>
          <w:color w:val="auto"/>
        </w:rPr>
      </w:pPr>
    </w:p>
    <w:p>
      <w:pPr>
        <w:spacing w:after="0" w:line="287" w:lineRule="exact"/>
        <w:rPr>
          <w:sz w:val="20"/>
          <w:szCs w:val="20"/>
          <w:color w:val="auto"/>
        </w:rPr>
      </w:pPr>
    </w:p>
    <w:p>
      <w:pPr>
        <w:ind w:left="740" w:hanging="374"/>
        <w:spacing w:after="0"/>
        <w:tabs>
          <w:tab w:leader="none" w:pos="740" w:val="left"/>
        </w:tabs>
        <w:numPr>
          <w:ilvl w:val="0"/>
          <w:numId w:val="67"/>
        </w:numPr>
        <w:rPr>
          <w:rFonts w:ascii="Arial" w:cs="Arial" w:eastAsia="Arial" w:hAnsi="Arial"/>
          <w:sz w:val="21"/>
          <w:szCs w:val="21"/>
          <w:color w:val="auto"/>
        </w:rPr>
      </w:pPr>
      <w:r>
        <w:rPr>
          <w:rFonts w:ascii="Arial" w:cs="Arial" w:eastAsia="Arial" w:hAnsi="Arial"/>
          <w:sz w:val="21"/>
          <w:szCs w:val="21"/>
          <w:b w:val="1"/>
          <w:bCs w:val="1"/>
          <w:color w:val="auto"/>
        </w:rPr>
        <w:t xml:space="preserve">CROs </w:t>
      </w:r>
      <w:r>
        <w:rPr>
          <w:rFonts w:ascii="Arial" w:cs="Arial" w:eastAsia="Arial" w:hAnsi="Arial"/>
          <w:sz w:val="21"/>
          <w:szCs w:val="21"/>
          <w:color w:val="auto"/>
        </w:rPr>
        <w:t>– Ora, Infocus</w:t>
      </w:r>
    </w:p>
    <w:p>
      <w:pPr>
        <w:spacing w:after="0" w:line="21" w:lineRule="exact"/>
        <w:rPr>
          <w:rFonts w:ascii="Arial" w:cs="Arial" w:eastAsia="Arial" w:hAnsi="Arial"/>
          <w:sz w:val="21"/>
          <w:szCs w:val="21"/>
          <w:color w:val="auto"/>
        </w:rPr>
      </w:pPr>
    </w:p>
    <w:p>
      <w:pPr>
        <w:ind w:left="740" w:hanging="374"/>
        <w:spacing w:after="0"/>
        <w:tabs>
          <w:tab w:leader="none" w:pos="740" w:val="left"/>
        </w:tabs>
        <w:numPr>
          <w:ilvl w:val="0"/>
          <w:numId w:val="67"/>
        </w:numPr>
        <w:rPr>
          <w:rFonts w:ascii="Arial" w:cs="Arial" w:eastAsia="Arial" w:hAnsi="Arial"/>
          <w:sz w:val="21"/>
          <w:szCs w:val="21"/>
          <w:color w:val="auto"/>
        </w:rPr>
      </w:pPr>
      <w:r>
        <w:rPr>
          <w:rFonts w:ascii="Arial" w:cs="Arial" w:eastAsia="Arial" w:hAnsi="Arial"/>
          <w:sz w:val="21"/>
          <w:szCs w:val="21"/>
          <w:b w:val="1"/>
          <w:bCs w:val="1"/>
          <w:color w:val="auto"/>
        </w:rPr>
        <w:t xml:space="preserve">Data safety monitoring </w:t>
      </w:r>
      <w:r>
        <w:rPr>
          <w:rFonts w:ascii="Arial" w:cs="Arial" w:eastAsia="Arial" w:hAnsi="Arial"/>
          <w:sz w:val="21"/>
          <w:szCs w:val="21"/>
          <w:color w:val="auto"/>
        </w:rPr>
        <w:t>– Regenexbio</w:t>
      </w:r>
    </w:p>
    <w:p>
      <w:pPr>
        <w:spacing w:after="0" w:line="1" w:lineRule="exact"/>
        <w:rPr>
          <w:rFonts w:ascii="Arial" w:cs="Arial" w:eastAsia="Arial" w:hAnsi="Arial"/>
          <w:sz w:val="21"/>
          <w:szCs w:val="21"/>
          <w:color w:val="auto"/>
        </w:rPr>
      </w:pPr>
    </w:p>
    <w:p>
      <w:pPr>
        <w:ind w:left="740" w:hanging="374"/>
        <w:spacing w:after="0"/>
        <w:tabs>
          <w:tab w:leader="none" w:pos="740" w:val="left"/>
        </w:tabs>
        <w:numPr>
          <w:ilvl w:val="0"/>
          <w:numId w:val="67"/>
        </w:numPr>
        <w:rPr>
          <w:rFonts w:ascii="Arial" w:cs="Arial" w:eastAsia="Arial" w:hAnsi="Arial"/>
          <w:sz w:val="21"/>
          <w:szCs w:val="21"/>
          <w:color w:val="auto"/>
        </w:rPr>
      </w:pPr>
      <w:r>
        <w:rPr>
          <w:rFonts w:ascii="Arial" w:cs="Arial" w:eastAsia="Arial" w:hAnsi="Arial"/>
          <w:sz w:val="21"/>
          <w:szCs w:val="21"/>
          <w:b w:val="1"/>
          <w:bCs w:val="1"/>
          <w:color w:val="auto"/>
        </w:rPr>
        <w:t>Consulting</w:t>
      </w:r>
    </w:p>
    <w:p>
      <w:pPr>
        <w:spacing w:after="0" w:line="1" w:lineRule="exact"/>
        <w:rPr>
          <w:rFonts w:ascii="Arial" w:cs="Arial" w:eastAsia="Arial" w:hAnsi="Arial"/>
          <w:sz w:val="21"/>
          <w:szCs w:val="21"/>
          <w:color w:val="auto"/>
        </w:rPr>
      </w:pPr>
    </w:p>
    <w:p>
      <w:pPr>
        <w:ind w:left="740"/>
        <w:spacing w:after="0"/>
        <w:rPr>
          <w:rFonts w:ascii="Arial" w:cs="Arial" w:eastAsia="Arial" w:hAnsi="Arial"/>
          <w:sz w:val="21"/>
          <w:szCs w:val="21"/>
          <w:color w:val="auto"/>
        </w:rPr>
      </w:pPr>
      <w:r>
        <w:rPr>
          <w:rFonts w:ascii="Arial" w:cs="Arial" w:eastAsia="Arial" w:hAnsi="Arial"/>
          <w:sz w:val="21"/>
          <w:szCs w:val="21"/>
          <w:b w:val="1"/>
          <w:bCs w:val="1"/>
          <w:color w:val="auto"/>
        </w:rPr>
        <w:t xml:space="preserve">Surgical </w:t>
      </w:r>
      <w:r>
        <w:rPr>
          <w:rFonts w:ascii="Arial" w:cs="Arial" w:eastAsia="Arial" w:hAnsi="Arial"/>
          <w:sz w:val="21"/>
          <w:szCs w:val="21"/>
          <w:color w:val="auto"/>
        </w:rPr>
        <w:t>– Alcon, DORC, Zeiss, B and L, I Luemns</w:t>
      </w:r>
    </w:p>
    <w:p>
      <w:pPr>
        <w:spacing w:after="0" w:line="1" w:lineRule="exact"/>
        <w:rPr>
          <w:rFonts w:ascii="Arial" w:cs="Arial" w:eastAsia="Arial" w:hAnsi="Arial"/>
          <w:sz w:val="21"/>
          <w:szCs w:val="21"/>
          <w:color w:val="auto"/>
        </w:rPr>
      </w:pPr>
    </w:p>
    <w:p>
      <w:pPr>
        <w:ind w:left="740"/>
        <w:spacing w:after="0"/>
        <w:rPr>
          <w:rFonts w:ascii="Arial" w:cs="Arial" w:eastAsia="Arial" w:hAnsi="Arial"/>
          <w:sz w:val="21"/>
          <w:szCs w:val="21"/>
          <w:color w:val="auto"/>
        </w:rPr>
      </w:pPr>
      <w:r>
        <w:rPr>
          <w:rFonts w:ascii="Arial" w:cs="Arial" w:eastAsia="Arial" w:hAnsi="Arial"/>
          <w:sz w:val="21"/>
          <w:szCs w:val="21"/>
          <w:b w:val="1"/>
          <w:bCs w:val="1"/>
          <w:color w:val="auto"/>
        </w:rPr>
        <w:t xml:space="preserve">Consultant – </w:t>
      </w:r>
      <w:r>
        <w:rPr>
          <w:rFonts w:ascii="Arial" w:cs="Arial" w:eastAsia="Arial" w:hAnsi="Arial"/>
          <w:sz w:val="21"/>
          <w:szCs w:val="21"/>
          <w:color w:val="auto"/>
        </w:rPr>
        <w:t>Roche/Genentech, Regeneron, Apellis, Eyepoint, Ocuphire, Ocuterra, Opthea, Allergan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603250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500" w:top="1440" w:right="879" w:bottom="1440" w:gutter="0" w:footer="0" w:header="0"/>
        </w:sectPr>
      </w:pPr>
    </w:p>
    <w:bookmarkStart w:id="166" w:name="page167"/>
    <w:bookmarkEnd w:id="166"/>
    <w:p>
      <w:pPr>
        <w:spacing w:after="0" w:line="21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APELLIS PHARMACEUTICALS, INC.</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sz w:val="18"/>
                <w:szCs w:val="18"/>
                <w:color w:val="auto"/>
              </w:rPr>
            </w:pP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20" w:type="dxa"/>
            <w:vAlign w:val="bottom"/>
          </w:tcPr>
          <w:p>
            <w:pPr>
              <w:spacing w:after="0"/>
              <w:rPr>
                <w:sz w:val="18"/>
                <w:szCs w:val="18"/>
                <w:color w:val="auto"/>
              </w:rPr>
            </w:pPr>
          </w:p>
        </w:tc>
        <w:tc>
          <w:tcPr>
            <w:tcW w:w="3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c>
          <w:tcPr>
            <w:tcW w:w="180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Australia Pty Ltd.</w:t>
            </w:r>
          </w:p>
        </w:tc>
        <w:tc>
          <w:tcPr>
            <w:tcW w:w="4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800" w:type="dxa"/>
            <w:vAlign w:val="bottom"/>
          </w:tcPr>
          <w:p>
            <w:pPr>
              <w:spacing w:after="0"/>
              <w:rPr>
                <w:sz w:val="19"/>
                <w:szCs w:val="19"/>
                <w:color w:val="auto"/>
              </w:rPr>
            </w:pPr>
          </w:p>
        </w:tc>
      </w:tr>
      <w:tr>
        <w:trPr>
          <w:trHeight w:val="238"/>
        </w:trPr>
        <w:tc>
          <w:tcPr>
            <w:tcW w:w="1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Austria GmbH</w:t>
            </w:r>
          </w:p>
        </w:tc>
        <w:tc>
          <w:tcPr>
            <w:tcW w:w="4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1800" w:type="dxa"/>
            <w:vAlign w:val="bottom"/>
          </w:tcPr>
          <w:p>
            <w:pPr>
              <w:spacing w:after="0"/>
              <w:rPr>
                <w:sz w:val="20"/>
                <w:szCs w:val="20"/>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Bermuda Ltd.</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Canada Inc.</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Cayman Holdings Limited</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DEL Holdings LLC</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DEL Holdings II, LLC</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Europe B.V</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Germany GmbH</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France S.A.S.</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International GmbH</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Ireland Ltd.</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Italy S.r.I.</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Netherlands, B.V.</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Schweiz GmbH</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Sweden AB</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U.K. Limited</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Apellis MA Securities Inc.</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Sales I, LLC</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 PRG I, Corp.</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APLSPRJ MRS, Inc.</w:t>
            </w:r>
          </w:p>
        </w:tc>
        <w:tc>
          <w:tcPr>
            <w:tcW w:w="4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spacing w:after="0"/>
              <w:rPr>
                <w:sz w:val="21"/>
                <w:szCs w:val="21"/>
                <w:color w:val="auto"/>
              </w:rPr>
            </w:pPr>
          </w:p>
        </w:tc>
      </w:tr>
      <w:tr>
        <w:trPr>
          <w:trHeight w:val="2771"/>
        </w:trPr>
        <w:tc>
          <w:tcPr>
            <w:tcW w:w="18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3" w:lineRule="exact"/>
        <w:rPr>
          <w:sz w:val="20"/>
          <w:szCs w:val="20"/>
          <w:color w:val="auto"/>
        </w:rPr>
      </w:pPr>
    </w:p>
    <w:p>
      <w:pPr>
        <w:ind w:right="3860"/>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333-269899, 333-235830 and 333-229091 on Form S-3 and Registration Statement Nos. 333-229876, 333-221528, 333-236708, 333-236710, 333-253518, 333-263100 and 333-269888 on Form S-8 of our reports dated February 27, 2024, relating to the financial statements of Apellis Pharmaceuticals, Inc. and its subsidiaries and the effectiveness of Apellis Pharmaceuticals, Inc. and its subsidiaries’ internal control over financial reporting appearing in this Annual Report on Form 10-K for the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198"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Apellis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26035</wp:posOffset>
            </wp:positionV>
            <wp:extent cx="32537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2">
                      <a:extLst>
                        <a:ext uri="{28A0092B-C50C-407E-A947-70E740481C1C}"/>
                      </a:extLst>
                    </a:blip>
                    <a:srcRect/>
                    <a:stretch>
                      <a:fillRect/>
                    </a:stretch>
                  </pic:blipFill>
                  <pic:spPr bwMode="auto">
                    <a:xfrm>
                      <a:off x="0" y="0"/>
                      <a:ext cx="325374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22"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E. Sullivan, certify that:</w:t>
      </w:r>
    </w:p>
    <w:p>
      <w:pPr>
        <w:spacing w:after="0" w:line="198"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Apellis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60" w:val="left"/>
          <w:tab w:leader="none" w:pos="782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26035</wp:posOffset>
            </wp:positionV>
            <wp:extent cx="325374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4">
                      <a:extLst>
                        <a:ext uri="{28A0092B-C50C-407E-A947-70E740481C1C}"/>
                      </a:extLst>
                    </a:blip>
                    <a:srcRect/>
                    <a:stretch>
                      <a:fillRect/>
                    </a:stretch>
                  </pic:blipFill>
                  <pic:spPr bwMode="auto">
                    <a:xfrm>
                      <a:off x="0" y="0"/>
                      <a:ext cx="325374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22"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2023 as filed with the Securities and Exchange Commission on the date hereof (the “Report”), the undersigned, Cedric Francois, the Chief Executive Officer and President of the Company, hereby certifies, pursuant to 18 U.S.C. § 1350, as adopted pursuant to § 906 of the Sarbanes-Oxley Act of 2002, that, to the best of his knowledge:</w:t>
      </w:r>
    </w:p>
    <w:p>
      <w:pPr>
        <w:spacing w:after="0" w:line="182" w:lineRule="exact"/>
        <w:rPr>
          <w:sz w:val="20"/>
          <w:szCs w:val="20"/>
          <w:color w:val="auto"/>
        </w:rPr>
      </w:pPr>
    </w:p>
    <w:p>
      <w:pPr>
        <w:ind w:left="1020" w:hanging="504"/>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Cedric Francois</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Apellis Pharmaceuticals, Inc. (the “Company”) on Form 10-K for the year ending December 31, 2023 as filed with the Securities and Exchange Commission on the date hereof (the “Report”), the undersigned, Timothy Sullivan, Chief Financial Officer and Treasurer of the Company, hereby certifies, pursuant to 18 U.S.C. § 1350, as adopted pursuant to § 906 of the Sarbanes-Oxley Act of 2002, that, to the best of his knowledge:</w:t>
      </w:r>
    </w:p>
    <w:p>
      <w:pPr>
        <w:spacing w:after="0" w:line="182" w:lineRule="exact"/>
        <w:rPr>
          <w:sz w:val="20"/>
          <w:szCs w:val="20"/>
          <w:color w:val="auto"/>
        </w:rPr>
      </w:pPr>
    </w:p>
    <w:p>
      <w:pPr>
        <w:ind w:left="1020" w:hanging="504"/>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Timothy E. Sullivan</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72" w:name="page173"/>
    <w:bookmarkEnd w:id="172"/>
    <w:p>
      <w:pPr>
        <w:jc w:val="center"/>
        <w:ind w:right="-46"/>
        <w:spacing w:after="0"/>
        <w:rPr>
          <w:sz w:val="20"/>
          <w:szCs w:val="20"/>
          <w:color w:val="auto"/>
        </w:rPr>
      </w:pPr>
      <w:r>
        <w:rPr>
          <w:rFonts w:ascii="Times New Roman" w:cs="Times New Roman" w:eastAsia="Times New Roman" w:hAnsi="Times New Roman"/>
          <w:sz w:val="22"/>
          <w:szCs w:val="22"/>
          <w:b w:val="1"/>
          <w:bCs w:val="1"/>
          <w:color w:val="auto"/>
        </w:rPr>
        <w:t>APELLIS PHARMACEUTICALS, INC.</w:t>
      </w:r>
    </w:p>
    <w:p>
      <w:pPr>
        <w:spacing w:after="0" w:line="250"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2"/>
          <w:szCs w:val="22"/>
          <w:u w:val="single" w:color="auto"/>
          <w:color w:val="auto"/>
        </w:rPr>
        <w:t>Dodd-Frank Compensation Recovery Policy</w:t>
      </w:r>
    </w:p>
    <w:p>
      <w:pPr>
        <w:spacing w:after="0" w:line="232" w:lineRule="exact"/>
        <w:rPr>
          <w:sz w:val="20"/>
          <w:szCs w:val="20"/>
          <w:color w:val="auto"/>
        </w:rPr>
      </w:pPr>
    </w:p>
    <w:p>
      <w:pPr>
        <w:ind w:left="7" w:right="180"/>
        <w:spacing w:after="0" w:line="239" w:lineRule="auto"/>
        <w:rPr>
          <w:sz w:val="20"/>
          <w:szCs w:val="20"/>
          <w:color w:val="auto"/>
        </w:rPr>
      </w:pPr>
      <w:r>
        <w:rPr>
          <w:rFonts w:ascii="Times New Roman" w:cs="Times New Roman" w:eastAsia="Times New Roman" w:hAnsi="Times New Roman"/>
          <w:sz w:val="22"/>
          <w:szCs w:val="22"/>
          <w:color w:val="auto"/>
        </w:rPr>
        <w:t>This Compensation Recovery Policy (this “Policy”) is adopted by Apellis Pharmaceuticals, Inc. (the “Company”) in accordance with Nasdaq Listing Rule 5608 (“Rule 5608”), which implements Rule 10D-1 under the Securities Exchange Act of 1934, as amended (the “Exchange Act”) (as promulgated pursuant to Section 954 of the Dodd-Frank Wall Street Reform and Consumer Protection Act of 2010). This Policy is effective as of October 2, 2023 (the “Effective Date”).</w:t>
      </w:r>
    </w:p>
    <w:p>
      <w:pPr>
        <w:spacing w:after="0" w:line="175" w:lineRule="exact"/>
        <w:rPr>
          <w:sz w:val="20"/>
          <w:szCs w:val="20"/>
          <w:color w:val="auto"/>
        </w:rPr>
      </w:pPr>
    </w:p>
    <w:p>
      <w:pPr>
        <w:ind w:left="747" w:hanging="747"/>
        <w:spacing w:after="0"/>
        <w:tabs>
          <w:tab w:leader="none" w:pos="747"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205" w:lineRule="exact"/>
        <w:rPr>
          <w:sz w:val="20"/>
          <w:szCs w:val="20"/>
          <w:color w:val="auto"/>
        </w:rPr>
      </w:pPr>
    </w:p>
    <w:p>
      <w:pPr>
        <w:ind w:left="7" w:right="180" w:firstLine="749"/>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“Accounting Restatement”</w:t>
      </w:r>
      <w:r>
        <w:rPr>
          <w:rFonts w:ascii="Times New Roman" w:cs="Times New Roman" w:eastAsia="Times New Roman" w:hAnsi="Times New Roman"/>
          <w:sz w:val="22"/>
          <w:szCs w:val="22"/>
          <w:color w:val="auto"/>
        </w:rPr>
        <w:t xml:space="preserve"> means a requirement that the Company prepare an accounting restatement due to the 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76"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xml:space="preserve"> means the Compensation Committee of the Company’s Board of Directors (the “Board”).</w:t>
      </w:r>
    </w:p>
    <w:p>
      <w:pPr>
        <w:spacing w:after="0" w:line="232" w:lineRule="exact"/>
        <w:rPr>
          <w:sz w:val="20"/>
          <w:szCs w:val="20"/>
          <w:color w:val="auto"/>
        </w:rPr>
      </w:pPr>
    </w:p>
    <w:p>
      <w:pPr>
        <w:ind w:left="7" w:right="720" w:firstLine="749"/>
        <w:spacing w:after="0" w:line="261"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b w:val="1"/>
          <w:bCs w:val="1"/>
          <w:color w:val="auto"/>
        </w:rPr>
        <w:t>“Covered Person”</w:t>
      </w:r>
      <w:r>
        <w:rPr>
          <w:rFonts w:ascii="Times New Roman" w:cs="Times New Roman" w:eastAsia="Times New Roman" w:hAnsi="Times New Roman"/>
          <w:sz w:val="22"/>
          <w:szCs w:val="22"/>
          <w:color w:val="auto"/>
        </w:rPr>
        <w:t xml:space="preserve"> means a person who served as an Executive Officer at any time during the performance period for the applicable Incentive-Based Compensation.</w:t>
      </w:r>
    </w:p>
    <w:p>
      <w:pPr>
        <w:spacing w:after="0" w:line="191" w:lineRule="exact"/>
        <w:rPr>
          <w:sz w:val="20"/>
          <w:szCs w:val="20"/>
          <w:color w:val="auto"/>
        </w:rPr>
      </w:pPr>
    </w:p>
    <w:p>
      <w:pPr>
        <w:ind w:left="7" w:firstLine="749"/>
        <w:spacing w:after="0" w:line="260"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xml:space="preserve"> means the amount of Incentive-Based Compensation that was Received that 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 The Company will maintain documentation of the determination of that reasonable estimate and provide such documentation to Nasdaq.</w:t>
      </w:r>
    </w:p>
    <w:p>
      <w:pPr>
        <w:spacing w:after="0" w:line="185"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xml:space="preserve"> means the Company’s officers as defined in Rule 16a-1(f)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231775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7"/>
          </w:cols>
          <w:pgMar w:left="433" w:top="1403" w:right="479" w:bottom="1440" w:gutter="0" w:footer="0" w:header="0"/>
        </w:sectPr>
      </w:pPr>
    </w:p>
    <w:bookmarkStart w:id="173" w:name="page174"/>
    <w:bookmarkEnd w:id="173"/>
    <w:p>
      <w:pPr>
        <w:jc w:val="both"/>
        <w:ind w:left="60" w:right="200" w:firstLine="749"/>
        <w:spacing w:after="0" w:line="272"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xml:space="preserve"> means (A) measures that are determined and presented in accordance with the 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(B) stock price and (C) total shareholder return.</w:t>
      </w:r>
    </w:p>
    <w:p>
      <w:pPr>
        <w:spacing w:after="0" w:line="184" w:lineRule="exact"/>
        <w:rPr>
          <w:sz w:val="20"/>
          <w:szCs w:val="20"/>
          <w:color w:val="auto"/>
        </w:rPr>
      </w:pPr>
    </w:p>
    <w:p>
      <w:pPr>
        <w:ind w:left="60" w:right="160" w:firstLine="749"/>
        <w:spacing w:after="0" w:line="261"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xml:space="preserve"> means any compensation that is granted, earned, or vested based wholly or in part upon the attainment of a Financial Reporting Measure.</w:t>
      </w:r>
    </w:p>
    <w:p>
      <w:pPr>
        <w:spacing w:after="0" w:line="178" w:lineRule="exact"/>
        <w:rPr>
          <w:sz w:val="20"/>
          <w:szCs w:val="20"/>
          <w:color w:val="auto"/>
        </w:rPr>
      </w:pPr>
    </w:p>
    <w:p>
      <w:pPr>
        <w:ind w:left="60" w:firstLine="749"/>
        <w:spacing w:after="0"/>
        <w:rPr>
          <w:sz w:val="20"/>
          <w:szCs w:val="20"/>
          <w:color w:val="auto"/>
        </w:rPr>
      </w:pPr>
      <w:r>
        <w:rPr>
          <w:rFonts w:ascii="Times New Roman" w:cs="Times New Roman" w:eastAsia="Times New Roman" w:hAnsi="Times New Roman"/>
          <w:sz w:val="22"/>
          <w:szCs w:val="22"/>
          <w:color w:val="auto"/>
        </w:rPr>
        <w:t xml:space="preserve">(h)Incentive-Based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applicable Incentive- Based Compensation award is attained, even if the payment or grant of the Incentive-Based Compensation occurs after the end of that period or is subject to additional time-based vesting requirements.</w:t>
      </w:r>
    </w:p>
    <w:p>
      <w:pPr>
        <w:spacing w:after="0" w:line="215" w:lineRule="exact"/>
        <w:rPr>
          <w:sz w:val="20"/>
          <w:szCs w:val="20"/>
          <w:color w:val="auto"/>
        </w:rPr>
      </w:pPr>
    </w:p>
    <w:p>
      <w:pPr>
        <w:ind w:left="60" w:right="20" w:firstLine="742"/>
        <w:spacing w:after="0" w:line="237"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color w:val="auto"/>
        </w:rPr>
        <w:t>“Recovery Period”</w:t>
      </w:r>
      <w:r>
        <w:rPr>
          <w:rFonts w:ascii="Times New Roman" w:cs="Times New Roman" w:eastAsia="Times New Roman" w:hAnsi="Times New Roman"/>
          <w:sz w:val="22"/>
          <w:szCs w:val="22"/>
          <w:color w:val="auto"/>
        </w:rPr>
        <w:t xml:space="preserve"> means the three completed fiscal years immediately preceding the earlier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73" w:lineRule="exact"/>
        <w:rPr>
          <w:sz w:val="20"/>
          <w:szCs w:val="20"/>
          <w:color w:val="auto"/>
        </w:rPr>
      </w:pPr>
    </w:p>
    <w:p>
      <w:pPr>
        <w:ind w:left="800" w:hanging="747"/>
        <w:spacing w:after="0"/>
        <w:tabs>
          <w:tab w:leader="none" w:pos="80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Erroneously Awarded Compensation</w:t>
      </w:r>
    </w:p>
    <w:p>
      <w:pPr>
        <w:spacing w:after="0" w:line="250" w:lineRule="exact"/>
        <w:rPr>
          <w:sz w:val="20"/>
          <w:szCs w:val="20"/>
          <w:color w:val="auto"/>
        </w:rPr>
      </w:pPr>
    </w:p>
    <w:p>
      <w:pPr>
        <w:ind w:left="60" w:right="560" w:firstLine="749"/>
        <w:spacing w:after="0" w:line="239" w:lineRule="auto"/>
        <w:rPr>
          <w:sz w:val="20"/>
          <w:szCs w:val="20"/>
          <w:color w:val="auto"/>
        </w:rPr>
      </w:pPr>
      <w:r>
        <w:rPr>
          <w:rFonts w:ascii="Times New Roman" w:cs="Times New Roman" w:eastAsia="Times New Roman" w:hAnsi="Times New Roman"/>
          <w:sz w:val="22"/>
          <w:szCs w:val="22"/>
          <w:color w:val="auto"/>
        </w:rPr>
        <w:t>Subject to the terms of this Policy and the requirements of Rule 5608, if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175" w:lineRule="exact"/>
        <w:rPr>
          <w:sz w:val="20"/>
          <w:szCs w:val="20"/>
          <w:color w:val="auto"/>
        </w:rPr>
      </w:pPr>
    </w:p>
    <w:p>
      <w:pPr>
        <w:ind w:left="800" w:hanging="747"/>
        <w:spacing w:after="0"/>
        <w:tabs>
          <w:tab w:leader="none" w:pos="8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 and Administration</w:t>
      </w:r>
    </w:p>
    <w:p>
      <w:pPr>
        <w:spacing w:after="0" w:line="236" w:lineRule="exact"/>
        <w:rPr>
          <w:sz w:val="20"/>
          <w:szCs w:val="20"/>
          <w:color w:val="auto"/>
        </w:rPr>
      </w:pPr>
    </w:p>
    <w:p>
      <w:pPr>
        <w:ind w:left="60" w:right="500" w:firstLine="749"/>
        <w:spacing w:after="0" w:line="28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Role of the Committee</w:t>
      </w:r>
      <w:r>
        <w:rPr>
          <w:rFonts w:ascii="Times New Roman" w:cs="Times New Roman" w:eastAsia="Times New Roman" w:hAnsi="Times New Roman"/>
          <w:sz w:val="20"/>
          <w:szCs w:val="20"/>
          <w:color w:val="auto"/>
        </w:rPr>
        <w:t>. This Policy will be interpreted by the Committee in a manner that is consistent with Rule 5608 and any other applicable law and will otherwise be interpreted in the business judgment of the Committee. All decisions and interpretations of the Committee that are consistent with Rule 5608 will be final and binding.</w:t>
      </w:r>
    </w:p>
    <w:p>
      <w:pPr>
        <w:spacing w:after="0" w:line="179" w:lineRule="exact"/>
        <w:rPr>
          <w:sz w:val="20"/>
          <w:szCs w:val="20"/>
          <w:color w:val="auto"/>
        </w:rPr>
      </w:pPr>
    </w:p>
    <w:p>
      <w:pPr>
        <w:ind w:left="60" w:right="40" w:firstLine="742"/>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Compensation Not Subject to this Policy</w:t>
      </w:r>
      <w:r>
        <w:rPr>
          <w:rFonts w:ascii="Times New Roman" w:cs="Times New Roman" w:eastAsia="Times New Roman" w:hAnsi="Times New Roman"/>
          <w:sz w:val="22"/>
          <w:szCs w:val="22"/>
          <w:color w:val="auto"/>
        </w:rPr>
        <w:t>. This Policy does not apply to Incentive- Based Compensation that was Received before the Effective Date. With respect to any Covered Person, this Policy does not apply to Incentive-Based Compensation that was Received by such Covered Person before beginning service as an Executive Officer. If the Company is required to prepare an Accounting Restatement and the provisions of this Policy are inapplicable (including,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939800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389" w:right="499"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20"/>
          <w:szCs w:val="20"/>
          <w:color w:val="auto"/>
        </w:rPr>
        <w:t>but not limited to, if the Incentive-Based Compensation was Received before the Effective Date),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931545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326" w:right="1440" w:bottom="1440" w:gutter="0" w:footer="0" w:header="0"/>
        </w:sectPr>
      </w:pPr>
    </w:p>
    <w:bookmarkStart w:id="175" w:name="page176"/>
    <w:bookmarkEnd w:id="175"/>
    <w:p>
      <w:pPr>
        <w:ind w:left="60"/>
        <w:spacing w:after="0" w:line="261" w:lineRule="auto"/>
        <w:rPr>
          <w:sz w:val="20"/>
          <w:szCs w:val="20"/>
          <w:color w:val="auto"/>
        </w:rPr>
      </w:pPr>
      <w:r>
        <w:rPr>
          <w:rFonts w:ascii="Times New Roman" w:cs="Times New Roman" w:eastAsia="Times New Roman" w:hAnsi="Times New Roman"/>
          <w:sz w:val="22"/>
          <w:szCs w:val="22"/>
          <w:color w:val="auto"/>
        </w:rPr>
        <w:t>the Company’s Recoupment Policy originally adopted by the Board on September 28, 2022 (the “</w:t>
      </w:r>
      <w:r>
        <w:rPr>
          <w:rFonts w:ascii="Times New Roman" w:cs="Times New Roman" w:eastAsia="Times New Roman" w:hAnsi="Times New Roman"/>
          <w:sz w:val="22"/>
          <w:szCs w:val="22"/>
          <w:b w:val="1"/>
          <w:bCs w:val="1"/>
          <w:color w:val="auto"/>
        </w:rPr>
        <w:t>Existing Policy</w:t>
      </w:r>
      <w:r>
        <w:rPr>
          <w:rFonts w:ascii="Times New Roman" w:cs="Times New Roman" w:eastAsia="Times New Roman" w:hAnsi="Times New Roman"/>
          <w:sz w:val="22"/>
          <w:szCs w:val="22"/>
          <w:color w:val="auto"/>
        </w:rPr>
        <w:t>”) may apply in accordance with its terms.</w:t>
      </w:r>
    </w:p>
    <w:p>
      <w:pPr>
        <w:spacing w:after="0" w:line="195" w:lineRule="exact"/>
        <w:rPr>
          <w:sz w:val="20"/>
          <w:szCs w:val="20"/>
          <w:color w:val="auto"/>
        </w:rPr>
      </w:pPr>
    </w:p>
    <w:p>
      <w:pPr>
        <w:ind w:left="60" w:right="1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Determination of Means of Recovery</w:t>
      </w:r>
      <w:r>
        <w:rPr>
          <w:rFonts w:ascii="Times New Roman" w:cs="Times New Roman" w:eastAsia="Times New Roman" w:hAnsi="Times New Roman"/>
          <w:sz w:val="22"/>
          <w:szCs w:val="22"/>
          <w:color w:val="auto"/>
        </w:rPr>
        <w:t>. Subject to the requirement that recovery be made reasonably promptly, the Committee will determine the appropriate means of recovery, which may vary between Covered Persons or based on the nature of the applicable Incentive- Based Compensation, and which may involve, without limitation, establishing a deferred repayment plan or setting off against current or future compensation otherwise payable to the Covered Person. Recovery of Erroneously Awarded Compensation will be made without regard to income taxes paid by the Covered Person or by the Company on the Covered Person’s behalf in connection with such Erroneously Awarded Compensation.</w:t>
      </w:r>
    </w:p>
    <w:p>
      <w:pPr>
        <w:spacing w:after="0" w:line="206" w:lineRule="exact"/>
        <w:rPr>
          <w:sz w:val="20"/>
          <w:szCs w:val="20"/>
          <w:color w:val="auto"/>
        </w:rPr>
      </w:pPr>
    </w:p>
    <w:p>
      <w:pPr>
        <w:ind w:left="60" w:right="120" w:firstLine="749"/>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Determination That Recovery is Impracticable</w:t>
      </w:r>
      <w:r>
        <w:rPr>
          <w:rFonts w:ascii="Times New Roman" w:cs="Times New Roman" w:eastAsia="Times New Roman" w:hAnsi="Times New Roman"/>
          <w:sz w:val="22"/>
          <w:szCs w:val="22"/>
          <w:color w:val="auto"/>
        </w:rPr>
        <w:t>. The Company is not required to recover Erroneously Awarded Compensation if a determination is made by the Committee that either (A) after the Company has made and documented a reasonable attempt to recover such Erroneously Awarded Compensation, the direct expense paid to a third party to assist in enforcing this Policy would exceed the amount to be recovered or (B) recovery of such Erroneously Awarded Compensation would likely cause an otherwise tax-qualified retirement plan, under which benefits are broadly available to employees of the registrant, to fail to meet the requirements of Section 401(a)(13) or 411(a) of the Internal Revenue Code and regulations thereunder.</w:t>
      </w:r>
    </w:p>
    <w:p>
      <w:pPr>
        <w:spacing w:after="0" w:line="221" w:lineRule="exact"/>
        <w:rPr>
          <w:sz w:val="20"/>
          <w:szCs w:val="20"/>
          <w:color w:val="auto"/>
        </w:rPr>
      </w:pPr>
    </w:p>
    <w:p>
      <w:pPr>
        <w:ind w:left="60" w:right="200" w:firstLine="749"/>
        <w:spacing w:after="0" w:line="239"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No Indemnification or Company-Paid Insurance</w:t>
      </w:r>
      <w:r>
        <w:rPr>
          <w:rFonts w:ascii="Times New Roman" w:cs="Times New Roman" w:eastAsia="Times New Roman" w:hAnsi="Times New Roman"/>
          <w:sz w:val="22"/>
          <w:szCs w:val="22"/>
          <w:color w:val="auto"/>
        </w:rPr>
        <w:t>. The Company will not indemnify any Covered Person against the loss of Erroneously Awarded Compensation or any other amounts that may be received by the Company in accordance with the Existing Policy and will not pay or reimburse any Covered Person for the purchase of a third-party insurance policy to fund potential recovery obligations.</w:t>
      </w:r>
    </w:p>
    <w:p>
      <w:pPr>
        <w:spacing w:after="0" w:line="179" w:lineRule="exact"/>
        <w:rPr>
          <w:sz w:val="20"/>
          <w:szCs w:val="20"/>
          <w:color w:val="auto"/>
        </w:rPr>
      </w:pPr>
    </w:p>
    <w:p>
      <w:pPr>
        <w:ind w:left="60" w:right="140" w:firstLine="749"/>
        <w:spacing w:after="0" w:line="239"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Interaction with Other Clawback Provisions</w:t>
      </w:r>
      <w:r>
        <w:rPr>
          <w:rFonts w:ascii="Times New Roman" w:cs="Times New Roman" w:eastAsia="Times New Roman" w:hAnsi="Times New Roman"/>
          <w:sz w:val="22"/>
          <w:szCs w:val="22"/>
          <w:color w:val="auto"/>
        </w:rPr>
        <w:t>. The Company will be deemed to have recovered Erroneously Awarded Compensation in accordance with this Policy to the extent the Company actually receives such amounts pursuant to any other Company policy, program or agreement (including the Existing Policy), pursuant to Section 304 of the Sarbanes-Oxley Act or otherwise.</w:t>
      </w:r>
    </w:p>
    <w:p>
      <w:pPr>
        <w:spacing w:after="0" w:line="206" w:lineRule="exact"/>
        <w:rPr>
          <w:sz w:val="20"/>
          <w:szCs w:val="20"/>
          <w:color w:val="auto"/>
        </w:rPr>
      </w:pPr>
    </w:p>
    <w:p>
      <w:pPr>
        <w:ind w:left="60" w:right="100" w:firstLine="749"/>
        <w:spacing w:after="0" w:line="24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No Limitation on Other Remedies</w:t>
      </w:r>
      <w:r>
        <w:rPr>
          <w:rFonts w:ascii="Times New Roman" w:cs="Times New Roman" w:eastAsia="Times New Roman" w:hAnsi="Times New Roman"/>
          <w:sz w:val="22"/>
          <w:szCs w:val="22"/>
          <w:color w:val="auto"/>
        </w:rPr>
        <w:t>. Nothing in this Policy will be deemed to limit the Company’s right to terminate employment of any Covered Person, to seek recovery of other compensation paid to a Covered Person, or to pursue other rights or remedies available to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Adopted by the Board on December 6,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939800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1389" w:right="519" w:bottom="1440" w:gutter="0" w:footer="0" w:header="0"/>
        </w:sectPr>
      </w:pPr>
    </w:p>
    <w:bookmarkStart w:id="176" w:name="page177"/>
    <w:bookmarkEnd w:id="1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lowerRoman"/>
      <w:start w:val="2"/>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lowerRoman"/>
      <w:start w:val="1"/>
    </w:lvl>
  </w:abstractNum>
  <w:abstractNum w:abstractNumId="60">
    <w:nsid w:val="1381823A"/>
    <w:multiLevelType w:val="hybridMultilevel"/>
    <w:lvl w:ilvl="0">
      <w:lvlJc w:val="left"/>
      <w:lvlText w:val="(%1)"/>
      <w:numFmt w:val="lowerRoman"/>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
      <w:numFmt w:val="bullet"/>
      <w:start w:val="1"/>
    </w:lvl>
    <w:lvl w:ilvl="1">
      <w:lvlJc w:val="left"/>
      <w:lvlText w:val="%2"/>
      <w:numFmt w:val="decimal"/>
      <w:start w:val="104"/>
    </w:lvl>
  </w:abstractNum>
  <w:abstractNum w:abstractNumId="64">
    <w:nsid w:val="15014ACB"/>
    <w:multiLevelType w:val="hybridMultilevel"/>
    <w:lvl w:ilvl="0">
      <w:lvlJc w:val="left"/>
      <w:lvlText w:val="%1."/>
      <w:numFmt w:val="decimal"/>
      <w:start w:val="3"/>
    </w:lvl>
  </w:abstractNum>
  <w:abstractNum w:abstractNumId="65">
    <w:nsid w:val="5F5E7FD0"/>
    <w:multiLevelType w:val="hybridMultilevel"/>
    <w:lvl w:ilvl="0">
      <w:lvlJc w:val="left"/>
      <w:lvlText w:val="%1."/>
      <w:numFmt w:val="decimal"/>
      <w:start w:val="5"/>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lvl w:ilvl="1">
      <w:lvlJc w:val="left"/>
      <w:lvlText w:val="(%2)"/>
      <w:numFmt w:val="lowerLetter"/>
      <w:start w:val="1"/>
    </w:lvl>
  </w:abstractNum>
  <w:abstractNum w:abstractNumId="68">
    <w:nsid w:val="6B94764"/>
    <w:multiLevelType w:val="hybridMultilevel"/>
    <w:lvl w:ilvl="0">
      <w:lvlJc w:val="left"/>
      <w:lvlText w:val="%1."/>
      <w:numFmt w:val="decimal"/>
      <w:start w:val="1"/>
    </w:lvl>
    <w:lvl w:ilvl="1">
      <w:lvlJc w:val="left"/>
      <w:lvlText w:val="(%2)"/>
      <w:numFmt w:val="lowerLetter"/>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2"/>
    </w:lvl>
  </w:abstractNum>
  <w:abstractNum w:abstractNumId="73">
    <w:nsid w:val="5DC79EA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34" Type="http://schemas.openxmlformats.org/officeDocument/2006/relationships/image" Target="media/image511.png"/><Relationship Id="rId554"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569" Type="http://schemas.openxmlformats.org/officeDocument/2006/relationships/image" Target="media/image524.png"/><Relationship Id="rId570" Type="http://schemas.openxmlformats.org/officeDocument/2006/relationships/image" Target="media/image525.png"/><Relationship Id="rId571" Type="http://schemas.openxmlformats.org/officeDocument/2006/relationships/image" Target="media/image526.png"/><Relationship Id="rId572" Type="http://schemas.openxmlformats.org/officeDocument/2006/relationships/image" Target="media/image527.jpeg"/><Relationship Id="rId573" Type="http://schemas.openxmlformats.org/officeDocument/2006/relationships/image" Target="media/image528.png"/><Relationship Id="rId574" Type="http://schemas.openxmlformats.org/officeDocument/2006/relationships/image" Target="media/image529.png"/><Relationship Id="rId575" Type="http://schemas.openxmlformats.org/officeDocument/2006/relationships/image" Target="media/image530.png"/><Relationship Id="rId576" Type="http://schemas.openxmlformats.org/officeDocument/2006/relationships/image" Target="media/image531.png"/><Relationship Id="rId577" Type="http://schemas.openxmlformats.org/officeDocument/2006/relationships/image" Target="media/image532.png"/><Relationship Id="rId578" Type="http://schemas.openxmlformats.org/officeDocument/2006/relationships/image" Target="media/image533.png"/><Relationship Id="rId579" Type="http://schemas.openxmlformats.org/officeDocument/2006/relationships/image" Target="media/image534.png"/><Relationship Id="rId580" Type="http://schemas.openxmlformats.org/officeDocument/2006/relationships/image" Target="media/image535.png"/><Relationship Id="rId581" Type="http://schemas.openxmlformats.org/officeDocument/2006/relationships/image" Target="media/image536.png"/><Relationship Id="rId582" Type="http://schemas.openxmlformats.org/officeDocument/2006/relationships/image" Target="media/image537.png"/><Relationship Id="rId583" Type="http://schemas.openxmlformats.org/officeDocument/2006/relationships/image" Target="media/image538.png"/><Relationship Id="rId584" Type="http://schemas.openxmlformats.org/officeDocument/2006/relationships/image" Target="media/image539.png"/><Relationship Id="rId585" Type="http://schemas.openxmlformats.org/officeDocument/2006/relationships/image" Target="media/image540.png"/><Relationship Id="rId586" Type="http://schemas.openxmlformats.org/officeDocument/2006/relationships/image" Target="media/image541.png"/><Relationship Id="rId587" Type="http://schemas.openxmlformats.org/officeDocument/2006/relationships/image" Target="media/image542.png"/><Relationship Id="rId588" Type="http://schemas.openxmlformats.org/officeDocument/2006/relationships/image" Target="media/image543.png"/><Relationship Id="rId589" Type="http://schemas.openxmlformats.org/officeDocument/2006/relationships/image" Target="media/image544.png"/><Relationship Id="rId590" Type="http://schemas.openxmlformats.org/officeDocument/2006/relationships/image" Target="media/image545.png"/><Relationship Id="rId591" Type="http://schemas.openxmlformats.org/officeDocument/2006/relationships/image" Target="media/image546.png"/><Relationship Id="rId592" Type="http://schemas.openxmlformats.org/officeDocument/2006/relationships/image" Target="media/image547.png"/><Relationship Id="rId593" Type="http://schemas.openxmlformats.org/officeDocument/2006/relationships/image" Target="media/image548.png"/><Relationship Id="rId518" Type="http://schemas.openxmlformats.org/officeDocument/2006/relationships/hyperlink" Target="https://www.sec.gov/Archives/edgar/data/1492422/000119312517309813/d445089dex21.htm" TargetMode="External"/><Relationship Id="rId519" Type="http://schemas.openxmlformats.org/officeDocument/2006/relationships/hyperlink" Target="https://www.sec.gov/Archives/edgar/data/1492422/000119312517340923/d493537dex31.htm" TargetMode="External"/><Relationship Id="rId520" Type="http://schemas.openxmlformats.org/officeDocument/2006/relationships/hyperlink" Target="https://www.sec.gov/Archives/edgar/data/1492422/000119312517340923/d493537dex32.htm" TargetMode="External"/><Relationship Id="rId521" Type="http://schemas.openxmlformats.org/officeDocument/2006/relationships/hyperlink" Target="https://www.sec.gov/Archives/edgar/data/1492422/000119312517323102/d445089dex41.htm" TargetMode="External"/><Relationship Id="rId522" Type="http://schemas.openxmlformats.org/officeDocument/2006/relationships/hyperlink" Target="https://www.sec.gov/Archives/edgar/data/1492422/000119312517309813/d445089dex42.htm" TargetMode="External"/><Relationship Id="rId523" Type="http://schemas.openxmlformats.org/officeDocument/2006/relationships/hyperlink" Target="https://www.sec.gov/Archives/edgar/data/1492422/000119312519245912/d802733dex41.htm" TargetMode="External"/><Relationship Id="rId524" Type="http://schemas.openxmlformats.org/officeDocument/2006/relationships/hyperlink" Target="https://www.sec.gov/Archives/edgar/data/1492422/000156459022007606/apls-ex44_16.htm" TargetMode="External"/><Relationship Id="rId525" Type="http://schemas.openxmlformats.org/officeDocument/2006/relationships/hyperlink" Target="https://www.sec.gov/Archives/edgar/data/1492422/000119312523047759/d454389dex41.htm" TargetMode="External"/><Relationship Id="rId526" Type="http://schemas.openxmlformats.org/officeDocument/2006/relationships/hyperlink" Target="https://www.sec.gov/Archives/edgar/data/1492422/000119312517309813/d445089dex101.htm" TargetMode="External"/><Relationship Id="rId527" Type="http://schemas.openxmlformats.org/officeDocument/2006/relationships/hyperlink" Target="https://www.sec.gov/Archives/edgar/data/1492422/000119312517309813/d445089dex102.htm" TargetMode="External"/><Relationship Id="rId528" Type="http://schemas.openxmlformats.org/officeDocument/2006/relationships/hyperlink" Target="https://www.sec.gov/Archives/edgar/data/1492422/000119312517309813/d445089dex103.htm" TargetMode="External"/><Relationship Id="rId529" Type="http://schemas.openxmlformats.org/officeDocument/2006/relationships/hyperlink" Target="https://www.sec.gov/Archives/edgar/data/1492422/000119312517324222/d445089dex104.htm" TargetMode="External"/><Relationship Id="rId530" Type="http://schemas.openxmlformats.org/officeDocument/2006/relationships/hyperlink" Target="https://www.sec.gov/Archives/edgar/data/1492422/000119312517323102/d445089dex105.htm" TargetMode="External"/><Relationship Id="rId531" Type="http://schemas.openxmlformats.org/officeDocument/2006/relationships/hyperlink" Target="https://www.sec.gov/Archives/edgar/data/1492422/000119312517323102/d445089dex106.htm" TargetMode="External"/><Relationship Id="rId532" Type="http://schemas.openxmlformats.org/officeDocument/2006/relationships/hyperlink" Target="https://www.sec.gov/Archives/edgar/data/1492422/000119312517323102/d445089dex107.htm" TargetMode="External"/><Relationship Id="rId533" Type="http://schemas.openxmlformats.org/officeDocument/2006/relationships/hyperlink" Target="https://www.sec.gov/Archives/edgar/data/1492422/000095012317008317/filename10.htm" TargetMode="External"/><Relationship Id="rId535" Type="http://schemas.openxmlformats.org/officeDocument/2006/relationships/hyperlink" Target="https://www.sec.gov/Archives/edgar/data/1492422/000119312517309813/d445089dex109.htm" TargetMode="External"/><Relationship Id="rId536" Type="http://schemas.openxmlformats.org/officeDocument/2006/relationships/hyperlink" Target="https://www.sec.gov/Archives/edgar/data/1492422/000119312517324222/d445089dex1011.htm" TargetMode="External"/><Relationship Id="rId537" Type="http://schemas.openxmlformats.org/officeDocument/2006/relationships/hyperlink" Target="https://www.sec.gov/Archives/edgar/data/1492422/000119312517309813/d445089dex1013.htm" TargetMode="External"/><Relationship Id="rId538" Type="http://schemas.openxmlformats.org/officeDocument/2006/relationships/hyperlink" Target="https://www.sec.gov/Archives/edgar/data/1492422/000119312517324222/d445089dex1015.htm" TargetMode="External"/><Relationship Id="rId539" Type="http://schemas.openxmlformats.org/officeDocument/2006/relationships/hyperlink" Target="https://www.sec.gov/Archives/edgar/data/1492422/000119312517315537/d445089dex1016.htm" TargetMode="External"/><Relationship Id="rId540" Type="http://schemas.openxmlformats.org/officeDocument/2006/relationships/hyperlink" Target="https://www.sec.gov/Archives/edgar/data/1492422/000156459018018096/apls-ex102_41.htm" TargetMode="External"/><Relationship Id="rId541" Type="http://schemas.openxmlformats.org/officeDocument/2006/relationships/hyperlink" Target="https://www.sec.gov/Archives/edgar/data/1492422/000156459019027462/apls-ex102_184.htm" TargetMode="External"/><Relationship Id="rId542" Type="http://schemas.openxmlformats.org/officeDocument/2006/relationships/hyperlink" Target="https://www.sec.gov/Archives/edgar/data/1492422/000156459019040063/apls-ex101_36.htm" TargetMode="External"/><Relationship Id="rId543" Type="http://schemas.openxmlformats.org/officeDocument/2006/relationships/hyperlink" Target="https://www.sec.gov/Archives/edgar/data/1492422/000156459021008800/apls-ex1017_217.htm" TargetMode="External"/><Relationship Id="rId544" Type="http://schemas.openxmlformats.org/officeDocument/2006/relationships/hyperlink" Target="https://www.sec.gov/Archives/edgar/data/1492422/000156459019016638/apls-ex101_221.htm" TargetMode="External"/><Relationship Id="rId545" Type="http://schemas.openxmlformats.org/officeDocument/2006/relationships/hyperlink" Target="https://www.sec.gov/Archives/edgar/data/1492422/000156459019027462/apls-ex101_11.htm" TargetMode="External"/><Relationship Id="rId546" Type="http://schemas.openxmlformats.org/officeDocument/2006/relationships/hyperlink" Target="https://www.sec.gov/Archives/edgar/data/1492422/000156459019016638/apls-ex102_113.htm" TargetMode="External"/><Relationship Id="rId547" Type="http://schemas.openxmlformats.org/officeDocument/2006/relationships/hyperlink" Target="https://www.sec.gov/Archives/edgar/data/1492422/000119312520135621/d922186dex101.htm" TargetMode="External"/><Relationship Id="rId548" Type="http://schemas.openxmlformats.org/officeDocument/2006/relationships/hyperlink" Target="https://www.sec.gov/Archives/edgar/data/1492422/000156459020049423/apls-ex102_46.htm" TargetMode="External"/><Relationship Id="rId549" Type="http://schemas.openxmlformats.org/officeDocument/2006/relationships/hyperlink" Target="https://www.sec.gov/Archives/edgar/data/1492422/000156459021008800/apls-ex1025_88.htm" TargetMode="External"/><Relationship Id="rId550" Type="http://schemas.openxmlformats.org/officeDocument/2006/relationships/hyperlink" Target="https://www.sec.gov/Archives/edgar/data/1492422/000156459021008800/apls-ex1026_87.htm" TargetMode="External"/><Relationship Id="rId551" Type="http://schemas.openxmlformats.org/officeDocument/2006/relationships/hyperlink" Target="https://www.sec.gov/Archives/edgar/data/1492422/000119312523267745/d282676dex11.htm" TargetMode="External"/><Relationship Id="rId552" Type="http://schemas.openxmlformats.org/officeDocument/2006/relationships/hyperlink" Target="https://www.sec.gov/Archives/edgar/data/1492422/000156459021021318/apls-ex101_47.htm" TargetMode="External"/><Relationship Id="rId553" Type="http://schemas.openxmlformats.org/officeDocument/2006/relationships/hyperlink" Target="https://www.sec.gov/Archives/edgar/data/1492422/000119312520052867/d896625dex991.htm" TargetMode="External"/><Relationship Id="rId555" Type="http://schemas.openxmlformats.org/officeDocument/2006/relationships/hyperlink" Target="https://www.sec.gov/Archives/edgar/data/1492422/000156459022007606/apls-ex1030_256.htm" TargetMode="External"/><Relationship Id="rId556" Type="http://schemas.openxmlformats.org/officeDocument/2006/relationships/hyperlink" Target="https://www.sec.gov/Archives/edgar/data/1492422/000119312521210295/d198376dex101.htm" TargetMode="External"/><Relationship Id="rId557" Type="http://schemas.openxmlformats.org/officeDocument/2006/relationships/hyperlink" Target="https://www.sec.gov/Archives/edgar/data/1492422/000095017023003438/apls-ex10_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2024-02-27T06:14:42Z</dcterms:created>
  <dcterms:modified xsi:type="dcterms:W3CDTF">2024-02-27T06:14:42Z</dcterms:modified>
</cp:coreProperties>
</file>