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437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4377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Watson David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60" w:lineRule="exact"/>
        <w:rPr>
          <w:sz w:val="24"/>
          <w:szCs w:val="24"/>
          <w:color w:val="auto"/>
        </w:rPr>
      </w:pPr>
    </w:p>
    <w:p>
      <w:pPr>
        <w:sectPr>
          <w:pgSz w:w="11900" w:h="16838" w:orient="portrait"/>
          <w:cols w:equalWidth="0" w:num="3">
            <w:col w:w="3280" w:space="640"/>
            <w:col w:w="3220" w:space="595"/>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940" w:type="dxa"/>
            <w:vAlign w:val="bottom"/>
            <w:gridSpan w:val="6"/>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6"/>
          </w:tcPr>
          <w:p>
            <w:pPr>
              <w:ind w:left="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w w:val="96"/>
              </w:rPr>
              <w:t>Line)</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02451</w:t>
            </w: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2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2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20" w:type="dxa"/>
            <w:vAlign w:val="bottom"/>
            <w:gridSpan w:val="2"/>
          </w:tcPr>
          <w:p>
            <w:pPr>
              <w:ind w:left="9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20" w:type="dxa"/>
            <w:vAlign w:val="bottom"/>
            <w:gridSpan w:val="2"/>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20" w:type="dxa"/>
            <w:vAlign w:val="bottom"/>
            <w:gridSpan w:val="2"/>
          </w:tcPr>
          <w:p>
            <w:pPr>
              <w:jc w:val="center"/>
              <w:ind w:left="80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20" w:type="dxa"/>
            <w:vAlign w:val="bottom"/>
            <w:gridSpan w:val="2"/>
            <w:vMerge w:val="restart"/>
          </w:tcPr>
          <w:p>
            <w:pPr>
              <w:jc w:val="center"/>
              <w:ind w:left="824"/>
              <w:spacing w:after="0"/>
              <w:rPr>
                <w:sz w:val="20"/>
                <w:szCs w:val="20"/>
                <w:color w:val="auto"/>
              </w:rPr>
            </w:pPr>
            <w:r>
              <w:rPr>
                <w:rFonts w:ascii="Times New Roman" w:cs="Times New Roman" w:eastAsia="Times New Roman" w:hAnsi="Times New Roman"/>
                <w:sz w:val="17"/>
                <w:szCs w:val="17"/>
                <w:color w:val="0000FF"/>
              </w:rPr>
              <w:t>03/04/2025</w:t>
            </w:r>
          </w:p>
        </w:tc>
        <w:tc>
          <w:tcPr>
            <w:tcW w:w="1120" w:type="dxa"/>
            <w:vAlign w:val="bottom"/>
          </w:tcPr>
          <w:p>
            <w:pPr>
              <w:spacing w:after="0"/>
              <w:rPr>
                <w:sz w:val="18"/>
                <w:szCs w:val="18"/>
                <w:color w:val="auto"/>
              </w:rPr>
            </w:pPr>
          </w:p>
        </w:tc>
        <w:tc>
          <w:tcPr>
            <w:tcW w:w="800" w:type="dxa"/>
            <w:vAlign w:val="bottom"/>
            <w:vMerge w:val="restart"/>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G</w:t>
            </w:r>
            <w:r>
              <w:rPr>
                <w:rFonts w:ascii="Times New Roman" w:cs="Times New Roman" w:eastAsia="Times New Roman" w:hAnsi="Times New Roman"/>
                <w:sz w:val="11"/>
                <w:szCs w:val="11"/>
                <w:color w:val="008000"/>
                <w:w w:val="86"/>
              </w:rPr>
              <w:t>(1)</w:t>
            </w:r>
          </w:p>
        </w:tc>
        <w:tc>
          <w:tcPr>
            <w:tcW w:w="70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6,667</w:t>
            </w:r>
          </w:p>
        </w:tc>
        <w:tc>
          <w:tcPr>
            <w:tcW w:w="54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2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Watson</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Education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20" w:type="dxa"/>
            <w:vAlign w:val="bottom"/>
            <w:gridSpan w:val="2"/>
          </w:tcPr>
          <w:p>
            <w:pPr>
              <w:jc w:val="center"/>
              <w:ind w:left="824"/>
              <w:spacing w:after="0"/>
              <w:rPr>
                <w:sz w:val="20"/>
                <w:szCs w:val="20"/>
                <w:color w:val="auto"/>
              </w:rPr>
            </w:pPr>
            <w:r>
              <w:rPr>
                <w:rFonts w:ascii="Times New Roman" w:cs="Times New Roman" w:eastAsia="Times New Roman" w:hAnsi="Times New Roman"/>
                <w:sz w:val="17"/>
                <w:szCs w:val="17"/>
                <w:color w:val="0000FF"/>
              </w:rPr>
              <w:t>03/04/2025</w:t>
            </w:r>
          </w:p>
        </w:tc>
        <w:tc>
          <w:tcPr>
            <w:tcW w:w="1120" w:type="dxa"/>
            <w:vAlign w:val="bottom"/>
          </w:tcPr>
          <w:p>
            <w:pPr>
              <w:spacing w:after="0"/>
              <w:rPr>
                <w:sz w:val="18"/>
                <w:szCs w:val="18"/>
                <w:color w:val="auto"/>
              </w:rPr>
            </w:pPr>
          </w:p>
        </w:tc>
        <w:tc>
          <w:tcPr>
            <w:tcW w:w="800" w:type="dxa"/>
            <w:vAlign w:val="bottom"/>
          </w:tcPr>
          <w:p>
            <w:pPr>
              <w:jc w:val="center"/>
              <w:ind w:right="281"/>
              <w:spacing w:after="0" w:line="213" w:lineRule="exact"/>
              <w:rPr>
                <w:sz w:val="20"/>
                <w:szCs w:val="20"/>
                <w:color w:val="auto"/>
              </w:rPr>
            </w:pPr>
            <w:r>
              <w:rPr>
                <w:rFonts w:ascii="Times New Roman" w:cs="Times New Roman" w:eastAsia="Times New Roman" w:hAnsi="Times New Roman"/>
                <w:sz w:val="24"/>
                <w:szCs w:val="24"/>
                <w:color w:val="0000FF"/>
                <w:w w:val="90"/>
                <w:vertAlign w:val="subscript"/>
              </w:rPr>
              <w:t>G</w:t>
            </w:r>
            <w:r>
              <w:rPr>
                <w:rFonts w:ascii="Times New Roman" w:cs="Times New Roman" w:eastAsia="Times New Roman" w:hAnsi="Times New Roman"/>
                <w:sz w:val="11"/>
                <w:szCs w:val="11"/>
                <w:color w:val="008000"/>
                <w:w w:val="90"/>
              </w:rPr>
              <w:t>(1)</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6,667</w:t>
            </w:r>
          </w:p>
        </w:tc>
        <w:tc>
          <w:tcPr>
            <w:tcW w:w="54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2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for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020" w:type="dxa"/>
            <w:vAlign w:val="bottom"/>
            <w:gridSpan w:val="2"/>
          </w:tcPr>
          <w:p>
            <w:pPr>
              <w:jc w:val="center"/>
              <w:ind w:left="824"/>
              <w:spacing w:after="0"/>
              <w:rPr>
                <w:sz w:val="20"/>
                <w:szCs w:val="20"/>
                <w:color w:val="auto"/>
              </w:rPr>
            </w:pPr>
            <w:r>
              <w:rPr>
                <w:rFonts w:ascii="Times New Roman" w:cs="Times New Roman" w:eastAsia="Times New Roman" w:hAnsi="Times New Roman"/>
                <w:sz w:val="17"/>
                <w:szCs w:val="17"/>
                <w:color w:val="0000FF"/>
              </w:rPr>
              <w:t>03/05/2025</w:t>
            </w:r>
          </w:p>
        </w:tc>
        <w:tc>
          <w:tcPr>
            <w:tcW w:w="1120" w:type="dxa"/>
            <w:vAlign w:val="bottom"/>
          </w:tcPr>
          <w:p>
            <w:pPr>
              <w:spacing w:after="0"/>
              <w:rPr>
                <w:sz w:val="23"/>
                <w:szCs w:val="23"/>
                <w:color w:val="auto"/>
              </w:rPr>
            </w:pPr>
          </w:p>
        </w:tc>
        <w:tc>
          <w:tcPr>
            <w:tcW w:w="80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5,569</w:t>
            </w:r>
          </w:p>
        </w:tc>
        <w:tc>
          <w:tcPr>
            <w:tcW w:w="54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25.1013</w:t>
            </w:r>
          </w:p>
        </w:tc>
        <w:tc>
          <w:tcPr>
            <w:tcW w:w="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138,730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David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70,136</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(4)</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 Watson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for no value of shares from the Watson Education Trust to a custodial account held by the reporting person for the sole benefit of his minor son on March 4, 2025.</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Watson Education Trust, for which the reporting person serves as trustee. The reporting person disclaims beneficial ownership over the shares held by the Education Trust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a custodial account held by the reporting person for the sole benefit of his minor 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David O. Watson Irrevocable Trust of 2023. William Zorn is the trustee of The David O. Watson Irrevocable Trust of 2023. The reporting person disclaims beneficial ownership over the shares held by The David O. Watson Irrevocable Trust of 2023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David Watson</w:t>
            </w:r>
          </w:p>
        </w:tc>
        <w:tc>
          <w:tcPr>
            <w:tcW w:w="12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03/06/2025</w:t>
            </w:r>
          </w:p>
        </w:tc>
      </w:tr>
    </w:tbl>
    <w:p>
      <w:pPr>
        <w:spacing w:after="0" w:line="67"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7719"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2025-03-06T16:23:45Z</dcterms:created>
  <dcterms:modified xsi:type="dcterms:W3CDTF">2025-03-06T16:23:45Z</dcterms:modified>
</cp:coreProperties>
</file>