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ls-20231231.htm"/>
      <w:bookmarkStart w:id="1" w:name="ksapls20231231"/>
      <w:bookmarkEnd w:id="0"/>
      <w:bookmarkEnd w:id="1"/>
      <w:r>
        <w:rPr/>
        <w:t> </w:t>
      </w:r>
    </w:p>
    <w:p>
      <w:pPr>
        <w:pStyle w:val="TextBody"/>
        <w:bidi w:val="0"/>
        <w:jc w:val="center"/>
        <w:rPr/>
      </w:pPr>
      <w:r>
        <w:rPr/>
        <w:t> </w:t>
      </w:r>
    </w:p>
    <w:p>
      <w:pPr>
        <w:pStyle w:val="TextBody"/>
        <w:pBdr>
          <w:bottom w:val="double" w:sz="6" w:space="1" w:color="000000"/>
        </w:pBdr>
        <w:bidi w:val="0"/>
        <w:jc w:val="center"/>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sz w:val="20"/>
        </w:rPr>
      </w:pPr>
      <w:r>
        <w:rPr>
          <w:rFonts w:ascii="Times New Roman" w:hAnsi="Times New Roman"/>
          <w:b/>
          <w:color w:val="000000"/>
          <w:sz w:val="2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0"/>
        </w:rPr>
        <w:t>FORM 10-K/A</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(Amendment No. 1)</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5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w:t>
            </w:r>
            <w:r>
              <w:rPr>
                <w:rFonts w:ascii="Times New Roman" w:hAnsi="Times New Roman"/>
                <w:color w:val="000000"/>
                <w:sz w:val="20"/>
                <w:u w:val="single"/>
              </w:rPr>
              <w:t xml:space="preserve"> </w:t>
            </w:r>
            <w:r>
              <w:rPr>
                <w:rFonts w:ascii="Times New Roman" w:hAnsi="Times New Roman"/>
                <w:color w:val="000000"/>
                <w:sz w:val="20"/>
              </w:rPr>
              <w:t> </w:t>
            </w:r>
            <w:r>
              <w:rPr>
                <w:rFonts w:ascii="Times New Roman" w:hAnsi="Times New Roman"/>
                <w:b/>
                <w:color w:val="000000"/>
                <w:sz w:val="20"/>
              </w:rPr>
              <w:t>TO</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001-38276</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APELLIS PHARMACEUTICALS,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delaware</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27-1537290</w:t>
            </w:r>
          </w:p>
        </w:tc>
      </w:tr>
      <w:tr>
        <w:trPr/>
        <w:tc>
          <w:tcPr>
            <w:tcW w:w="243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spacing w:before="0" w:after="283"/>
              <w:jc w:val="center"/>
              <w:rPr/>
            </w:pPr>
            <w:r>
              <w:rPr/>
              <w:t> </w:t>
            </w:r>
          </w:p>
        </w:tc>
      </w:tr>
      <w:tr>
        <w:trPr/>
        <w:tc>
          <w:tcPr>
            <w:tcW w:w="243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Fifth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(617) 977-5700</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643" w:type="dxa"/>
        <w:jc w:val="left"/>
        <w:tblInd w:w="0" w:type="dxa"/>
        <w:tblLayout w:type="fixed"/>
        <w:tblCellMar>
          <w:top w:w="28" w:type="dxa"/>
          <w:left w:w="28" w:type="dxa"/>
          <w:bottom w:w="28" w:type="dxa"/>
          <w:right w:w="28" w:type="dxa"/>
        </w:tblCellMar>
      </w:tblPr>
      <w:tblGrid>
        <w:gridCol w:w="3871"/>
        <w:gridCol w:w="1456"/>
        <w:gridCol w:w="3316"/>
      </w:tblGrid>
      <w:tr>
        <w:trPr/>
        <w:tc>
          <w:tcPr>
            <w:tcW w:w="387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5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APLS</w:t>
            </w:r>
          </w:p>
        </w:tc>
        <w:tc>
          <w:tcPr>
            <w:tcW w:w="33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None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Indicate by check mark if the registrant is a well-known seasoned issuer, as defined in Rule 405 of the Securities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Indicate by check mark if the registrant is not required to file reports pursuant to Section 13 or 15(d) of the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68" w:type="dxa"/>
        <w:jc w:val="left"/>
        <w:tblInd w:w="0" w:type="dxa"/>
        <w:tblLayout w:type="fixed"/>
        <w:tblCellMar>
          <w:top w:w="28" w:type="dxa"/>
          <w:left w:w="28" w:type="dxa"/>
          <w:bottom w:w="28" w:type="dxa"/>
          <w:right w:w="28" w:type="dxa"/>
        </w:tblCellMar>
      </w:tblPr>
      <w:tblGrid>
        <w:gridCol w:w="1666"/>
        <w:gridCol w:w="146"/>
        <w:gridCol w:w="316"/>
        <w:gridCol w:w="14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Exchange Act). </w:t>
      </w:r>
      <w:r>
        <w:rPr>
          <w:rFonts w:ascii="Times New Roman" w:hAnsi="Times New Roman"/>
          <w:caps/>
          <w:color w:val="000000"/>
          <w:sz w:val="20"/>
        </w:rPr>
        <w:t>Yes</w:t>
      </w:r>
      <w:r>
        <w:rPr>
          <w:rFonts w:ascii="Times New Roman" w:hAnsi="Times New Roman"/>
          <w:color w:val="000000"/>
          <w:sz w:val="20"/>
        </w:rPr>
        <w:t xml:space="preserve">☐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As of June 30, 2023, the aggregate market value of the voting and non-voting common equity held by non-affiliates of the registrant, based on the closing price of the shares of common stock on the Nasdaq Global Select Stock Market on such date, was $10.7 billion.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number of shares of the registrant’s common stock, par value $0.0001 per share outstanding as of February 20, 2024 was 120,581,749. </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spacing w:before="60" w:after="283"/>
        <w:jc w:val="left"/>
        <w:rPr>
          <w:rFonts w:ascii="Times New Roman" w:hAnsi="Times New Roman"/>
          <w:sz w:val="20"/>
        </w:rPr>
      </w:pPr>
      <w:r>
        <w:rPr>
          <w:rFonts w:ascii="Times New Roman" w:hAnsi="Times New Roman"/>
          <w:color w:val="000000"/>
          <w:sz w:val="20"/>
        </w:rPr>
        <w:t>The registrant intends to file a definitive proxy statement pursuant to Regulation 14A in connection with its 2024 Annual Meeting of Stockholders within 120 days of the end of the registrant’s fiscal year ended December 31, 2023. Portions of such proxy statement are incorporated by reference into Part III of this Annual Report on Form 10-K</w:t>
      </w:r>
      <w:r>
        <w:rPr>
          <w:rFonts w:ascii="Times New Roman" w:hAnsi="Times New Roman"/>
          <w:color w:val="000000"/>
          <w:sz w:val="18"/>
        </w:rPr>
        <w:t>.</w:t>
      </w:r>
    </w:p>
    <w:p>
      <w:pPr>
        <w:pStyle w:val="TextBody"/>
        <w:pBdr>
          <w:bottom w:val="double" w:sz="6" w:space="1" w:color="000000"/>
        </w:pBdr>
        <w:bidi w:val="0"/>
        <w:jc w:val="left"/>
        <w:rPr/>
      </w:pPr>
      <w:r>
        <w:rPr/>
        <w:t> </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EXPLANATORY NOTE</w:t>
      </w:r>
    </w:p>
    <w:p>
      <w:pPr>
        <w:pStyle w:val="TextBody"/>
        <w:bidi w:val="0"/>
        <w:spacing w:before="6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Apellis Pharmaceuticals, Inc. (the “Company”) filed its Annual Report on Form 10-K for the fiscal year ended December 31, 2023 (the “Original Filing”) with the United States Securities and Exchange Commission (the “SEC”) on February 27, 2024. The Company is filing this Amendment No. 1 to the Original Filing (this “Amendment No. 1”) in order to correct (i) an inadvertent administrative error in the Critical Audit Matter section of the Report of Independent Registered Public Accounting Firm in Part II, Item 8 that resulted in an omission of text in the Original Filing and (ii) an inadvertent administrative error that resulted in the omission of the Report of Independent Registered Public Accounting Firm on internal controls over financial reporting, in Part II, Item 9A of the Original Filing.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Rule 12b-15 (“Rule 12b-15”) under the Securities Exchange Act of 1934, as amended, the Original Filing is amended and restated in its entirety. However, there have been no changes made other than the corrections stated in the immediately preceding paragraph. In addition, the Company is including in this Amendment No. 1 new certifications of its principal executive officer and principal financial officer, as required by Rule 12b-15, as Exhibits 31.3, 31.4, 32.3 and 32.4, respectively, and a new consent from Deloitte &amp; Touche LLP, the Company’s independent registered public accounting firm, as Exhibit 23.2.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Except as described above, this Amendment No. 1 speaks as of the filing date of the Original Filing and does not amend or modify any other information contained in the Original Filing to reflect events that may have occurred subsequent to such filing date. Accordingly, this Amendment No. 1 should be read in conjunction with the Original Filing and the Company’s subsequent filings with the SEC. </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
              <w:r>
                <w:rPr>
                  <w:rStyle w:val="InternetLink"/>
                  <w:rFonts w:ascii="Times New Roman" w:hAnsi="Times New Roman"/>
                  <w:color w:val="0000FF"/>
                  <w:sz w:val="20"/>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6">
              <w:r>
                <w:rPr>
                  <w:rStyle w:val="InternetLink"/>
                  <w:rFonts w:ascii="Times New Roman" w:hAnsi="Times New Roman"/>
                  <w:color w:val="0000FF"/>
                  <w:sz w:val="20"/>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a">
              <w:r>
                <w:rPr>
                  <w:rStyle w:val="InternetLink"/>
                  <w:rFonts w:ascii="Times New Roman" w:hAnsi="Times New Roman"/>
                  <w:color w:val="0000FF"/>
                  <w:sz w:val="20"/>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5">
              <w:r>
                <w:rPr>
                  <w:rStyle w:val="InternetLink"/>
                  <w:rFonts w:ascii="Times New Roman" w:hAnsi="Times New Roman"/>
                  <w:color w:val="0000FF"/>
                  <w:sz w:val="20"/>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 AND INDUSTRY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contains forward-looking statements that involve substantial risks and uncertainties. All statements, other than statements of historical facts, contained in this Annual Report,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forward-looking statements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commercialization of EMPAVELI and SYFOVRE;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with respect to our ongoing and planned clinical trials for our product candidates, whether conducted by us or Swedish Orphan Biovitrum AB (Publ), or Sobi, or by any future collaborators, including the timing of initiation, dosing of patients, enrollment and completion of these trials and of the anticipated results from these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marketing and distribution capabilities and strategies, including for the commercialization and manufacturing of EMPAVELI, SYFOVRE and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EMPAVELI, SYFOVRE and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the rate of incidence of retinal vasculitis following SYFOVRE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our expenses, future revenue, the timing of future cash needs, capital requirements and our ability to obtain additional funding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our current and future product candidates for any additional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obtain and maintain regulatory approvals for our product candidates, including whether our plans to seek re-examination of our marketing authorization application for SYFOVRE in the European Union will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clinical benefits and attributes of our current and future product candidates we may develop and the inhibition of C3;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any future collaborations for the development and commercialization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any current or future collaboration, including our collaborations with Sobi and Beam Therapeutics, Inc.;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additional products or product candidates with significant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restructuring announced in August 2023 and our estimates regarding the anticipated cost savings and operational efficiencies;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new government laws and regulations (including tax).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Annual Report on Form 10-K and the documents that we have filed or incorporated by reference as exhibits to this Annual Report on Form 10-K completely and with the understanding that our actual future results may be materially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different from what we expect. We do not assume any obligation to update any forward-looking statements, whether as a result of new information, future events or otherwise, except as required by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includes statistical and other industry and market data that we obtained from industry publications and research, surveys and studies conducted by third parties. All of the market data used in this Annual Report on Form 10-K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 The Apellis, EMPAVELI, SYFOVRE and Apellis Assist names and logos are our trademarks, trade names and service marks. The other trademarks, trade names and service marks appearing in this Annual Report on Form 10-K are the property of their respective owners.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Regarding Certain References in this Annual Report on Form 10-K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otherwise stated or the context indicates otherwise, all references herein to “Apellis,” “Apellis Pharmaceuticals, Inc.,” “we,” “us,” “our,” “our company,” “the Company” and similar references refer to Apellis Pharmaceuticals, Inc. and its wholly owned subsidiaries.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unless otherwise stated or the context indicates otherwise, all references in this Annual Report on Form 10-K to “EMPAVELI (pegcetacoplan)” and “EMPAVELI” refer to pegcetacoplan in the context of the commercially available product in the United States for the treatment of adults with paroxysmal nocturnal hemoglobinuria, or PNH, and references to Aspaveli refer to systemic pegcetacoplan in the context of the commercially available product in the European Union for the treatment of adults with PNH who are anemic after treatment with a C5 inhibitor for at least three months in each case, as more fully described herein. Unless otherwise stated or the context indicates otherwise, all references in this Annual Report on Form 10-K to “SYFOVRE (pegcetacoplan injection)” and “SYFOVRE” refer to intravitreal pegcetacoplan in the context of the commercially available product for which we received approval from the U.S. Food and Drug Administration in February 2023 for the treatment of geographic atrophy secondary to age-related macular degeneration. Unless otherwise stated or the context indicates otherwise, all references herein to “pegcetacoplan” refer to pegcetacoplan in the context of the product candidate for which we are exploring further applications and indications, as more fully described herein. The other trademarks, trade names and service marks appearing in this Annual Report on Form 10-K are the property of their respective owners.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since inception, and we may never achieve or maintain profitability. Our net losses were $528.6 million, $652.2 million, and $746.4 million for the years ended December 31, 2023, 2022 and 2021, respectively. We have obtained marketing approval for EMPAVELI for the treatment of paroxysmal nocturnal hemoglobinuria, or PNH, in multiple jurisdictions and SYFOVRE for the treatment of geographic atrophy secondary to age-related macular degeneration, or GA,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w:t>
      </w:r>
      <w:r>
        <w:rPr>
          <w:color w:val="000000"/>
        </w:rPr>
        <w:t xml:space="preserve"> </w:t>
      </w:r>
      <w:r>
        <w:rPr>
          <w:rFonts w:ascii="Times New Roman" w:hAnsi="Times New Roman"/>
          <w:color w:val="000000"/>
          <w:sz w:val="20"/>
        </w:rPr>
        <w:t>prospects depend upon the commercial success of SYFOVRE and EMPAVELI.</w:t>
      </w:r>
      <w:r>
        <w:rPr>
          <w:color w:val="000000"/>
        </w:rPr>
        <w:t xml:space="preserve"> </w:t>
      </w:r>
      <w:r>
        <w:rPr>
          <w:rFonts w:ascii="Times New Roman" w:hAnsi="Times New Roman"/>
          <w:color w:val="000000"/>
          <w:sz w:val="20"/>
        </w:rPr>
        <w:t>If we are unable to successfully commercialize SYFOVRE and EMPAVELI or develop and obtain marketing approval for or successfully commercialize pegcetacoplan in other indications, either alone or through a collaboration, or if we experience significant delays in doing so, our business could be harmed. SYFOVRE is currently only approved in the United States. We cannot be certain that we will be able to obtain regulatory approval for, and successfully commercialize, SYFOVRE in additional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others may later discover that EMPAVELI or SYFOVRE is less effective than previously believed or causes safety issues that were not previously identified, which could compromise our ability, or that of our collaborators, to market the product. For example, a small number of patients treated with SYFOVRE in the real world have experienced retinal vasculitis, a severe form of intraocular inflammation. A change in the perception of the benefit/risk profile of SYFOVRE may reduce market acceptance of the product and our product revenues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operating losses for at least this year. If our cash and cash equivalents, cash generated from the unwind of the capped call transactions, and cash generated from sales of EMPAVELI and SYFOVRE are not sufficient to fund our projected operating plans and capital expenditure requirements, we will need to obtain additional funding. If we are unable to raise capital when needed, we could be forced to delay, reduce or eliminate product development programs or delay or reduce our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make substantial payments to SFJ Pharmaceuticals Group, or SFJ, pursuant to our development funding agreement as a result of receiving regulatory approval of EMPAVELI and Aspaveli in the United States and the European Union. If we do not have sufficient funding or cash flow from our business to meet our payment obligations under the development funding agreement, SFJ could exercise its remedies as a holder of a first priority security interest in our assets and our business could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expensive, time consuming and uncertain and may prevent us or our collaborators such as Sobi from obtaining marketing approvals for systemic pegcetacoplan in indications other than PNH, intravitreal pegcetacoplan for indications other than GA or in jurisdictions other than the United States, or any other product candidate that we develop in any jurisdiction. For example, in January 2024, the Committee for Medicinal Products for Human Use, or CHMP, of the European Medicines Agency adopted a negative opinion on the marketing authorization application, or MAA, for SYFOVRE in the European Union. While we are seeking re-examination of the MAA, we cannot be certain that such re-examination will be successful, and we may be required to conduct additional clinical trials of SYFOVRE. As a result, we cannot predict when or if, and in which jurisdictions, we, or our collaborators, will obtain marketing approval for systemic pegcetacoplan in other indications, for intravitreal pegcetacoplan for GA in other jurisdictions or for any other product candidate that we develop in any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clinical trials of systemic pegcetacoplan, intravitreal pegcetacoplan or our other product candidates fail to satisfactorily demonstrate safety and efficacy to the FDA, the European Medicines Agency, or EMA, and other regulators, we may incur additional costs or experience delays in completing, or ultimately be unable to complete, the development and commercialization of these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with PNH who were previously untreated may not start treatment with EMPAVELI or patients who are being treated for PNH with eculizumab or ravulizumab, which are the current standard of care for PNH, may not switch to treatment with EMPAVELI. Patients with GA may not begin treatment with SYFOVRE as rapidly or as broadly as we expect, and EMPAVELI, SYFOVRE, or any other products that we develop may fail to achieve the degree of market acceptance by physicians, patients, third-party payors, and others in the medical community necessary for commercial success, in which case we may not generate significant revenues or become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substantial competition, which may result in others discovering, developing or commercializing products before or more successfully than we do. In GA, we face substantial competition from avacincaptad pegol, which the FDA approved for the treatment of GA in August 2023. In PNH, we face substantial competition from eculizumab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pPr>
      <w:r>
        <w:rPr>
          <w:rFonts w:ascii="Times New Roman" w:hAnsi="Times New Roman"/>
          <w:color w:val="000000"/>
          <w:sz w:val="20"/>
        </w:rPr>
        <w:t>ravulizumab and additional competition from new products, including iptacopan, an orally administered product which the FDA approved for the treatment of PNH in December 2023.</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contract with third parties for the manufacture, storage and distribution of commercial and clinical supply of EMPAVELI and SYFOVRE and clinical supply for our product candidates and expect to continue to do so in connection with our development and commercialization efforts. This reliance on third parties increases the risk that we will not have sufficient quantities of EMPAVELI, SYFOVRE, or our product candidates or that such quantities may be acquired at an acceptable cost, which could delay, prevent or impair our development or commercialization efforts. If these third parties do not perform satisfactorily, our development or commercialization efforts could be delayed or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prospects for the development and commercialization of systemic pegcetacoplan outside of the United States will depend in part on the success of our collaboration with Sobi.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under our existing and any future intellectual property licenses with third parties, we could lose license rights that are important to our business, including our patent license agreements with the University of Pennsylvania under which we license patents with claim that recite a class of compounds generically covering pegcetacoplan, and that specifically recite the active component.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36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diseases with high unmet need and that are driven by excessive complement activation.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2023, the U.S. Food and Drug Administration, or the FDA, approved SYFOVRE (pegcetacoplan injection), the first approved treatment for geographic atrophy secondary to age-related macular degeneration, or GA. We believe SYFOVRE has the potential to be a best-in-class treatment for patients with GA, a disease that affects more than one million people in the United States and five million people worldwide. We launched SYFOVRE in the United States in March 2023. For the year ended December 31, 2023, we generated $275.2 million in U.S. net product revenue from sales of SYFOVRE.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2022,we also submitted a marketing authorization application, or MAA, to the European Medicines Agency, or EMA, for intravitreal pegcetacoplan for the treatment of GA. The EMA subsequently provided MAA validation and the application is under review. In January 2024, the Committee for Medicinal Products for Human Use, or CHMP, adopted a negative opinion on the marketing authorization application, or MAA, for intravitreal pegcetacoplan. We are initiating the re-examination of the application. Marketing applications submitted to regulatory authorities in Canada, Australia, the United Kingdom, and Switzerland for the treatment of GA are currently under review. We have exclusive, worldwide commercialization rights for intravitreal pegcetacoplan.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2023, we disclosed data from GALE, our long-term extension trial of SYFOVRE, which demonstrated increasing treatment effects over 36 months in patients with GA. The safety profile of SYFOVRE in the GALE trial at 36 months was consistent with previously reported Phase 3 data.</w:t>
      </w:r>
    </w:p>
    <w:p>
      <w:pPr>
        <w:pStyle w:val="TextBody"/>
        <w:bidi w:val="0"/>
        <w:spacing w:before="200" w:after="283"/>
        <w:jc w:val="left"/>
        <w:rPr>
          <w:rFonts w:ascii="Times New Roman" w:hAnsi="Times New Roman"/>
          <w:sz w:val="20"/>
        </w:rPr>
      </w:pPr>
      <w:r>
        <w:rPr>
          <w:rFonts w:ascii="Times New Roman" w:hAnsi="Times New Roman"/>
          <w:color w:val="000000"/>
          <w:sz w:val="20"/>
        </w:rPr>
        <w:t>In July 2023, we d</w:t>
      </w:r>
      <w:r>
        <w:rPr>
          <w:rFonts w:ascii="Times New Roman" w:hAnsi="Times New Roman"/>
          <w:color w:val="212121"/>
          <w:sz w:val="20"/>
        </w:rPr>
        <w:t xml:space="preserve">isclosed that we had received reports of a small number of events of retinal vasculitis following SYFOVRE treatment. As of mid-February 2024, and following the distribution of more than 200,000 doses (commercial and sample) of SYFOVRE, </w:t>
      </w:r>
      <w:r>
        <w:rPr>
          <w:rFonts w:ascii="Times New Roman" w:hAnsi="Times New Roman"/>
          <w:color w:val="000000"/>
          <w:sz w:val="20"/>
        </w:rPr>
        <w:t xml:space="preserve">we estimate that the rate of incidence of retinal vasculitis remains rare at approximately 0.01% per injection. In November 2023, we updated the U.S. Prescribing Information, or USPI, for SYFOVRE in collaboration with the FDA to include the events of retinal vasculitis with or without occlusion as part of the “Warnings and Precautions and Adverse Reactions – Postmarketing Experience” sections of the USPI. </w:t>
      </w:r>
      <w:r>
        <w:rPr>
          <w:rFonts w:ascii="Times New Roman" w:hAnsi="Times New Roman"/>
          <w:color w:val="212121"/>
          <w:sz w:val="20"/>
        </w:rPr>
        <w:t>We believe that the reports of retinal vasculitis had an adverse impact on our sales of SYFOVRE during the year ended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U.S. Centers for Medicare &amp; Medicaid Services assigned a permanent and product-specific J-code for SYFOVRE, which became effective on October 1, 2023. J-codes are permanent reimbursement codes used by government payers and commercial insurers to facilitate billing of Medicare Part B treatments, which must be administered by a healthcare professional.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May 2021, the FDA approved EMPAVELI (pegcetacoplan), the first targeted C3 therapy, for the treatment of paroxysmal nocturnal hemoglobinuria, or PNH. EMPAVELI is approved for use in adults with PNH and can be used by patients who are either treatment-naïve or who are switching from C5 inhibitors eculizumab or ravulizumab. We believe that EMPAVELI has the potential to elevate the standard of care in PNH and are seeking to establish EMPAVELI as the preferred first-line treatment for patients. In October 2023, we announced the FDA approval of the EMPAVELI Injector, a compact, single-use, on-body device designed to enhance self-administration of EMPAVELI. In the United States, there are approximately 1,500 patients with PNH currently being treated with C5 inhibitors and another 150 patients who are expected to be newly diagnosed each year. For the year ended December 31, 2023 and 2022, we generated $91.0 million and $65.1 million, respectively, in U.S. net product revenue from sales of EMPAVELI.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2021, the European Commission, or the EC, approved Aspaveli (pegcetacoplan) for the treatment of adults with PNH who are anemic after treatment with a C5 inhibitor for at least three months. In January 2024, following the submission of the Phase 3 PRINCE data in treatment-naïve PNH patients, the EC updated the Aspaveli indication statement to include all PNH patients with hemolytic anemia. To date, systemic pegcetacoplan has also been approved for the treatment of PNH in Japan, Saudi Arabia, Australia, the United Kingdom and other jurisdictions. Systemic pegcetacoplan is currently marketed under the trade name EMPAVELI in the United States, Saudi Arabia and Australia and Aspaveli in the European Union, Japan and United Kingdom. Under our collaboration and license agreement, or the Sobi collaboration agreement, with Swedish Orphan Biovitrum AB (Publ), or Sobi, Sobi has global co-development and exclusive ex-U.S. commercialization rights for systemic pegcetacoplan and initiated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commercial launch of EMPAVELI/Aspaveli in jurisdictions outside of the United States during the first quarter of 2022. We have commercialization rights for systemic pegcetacoplan in the United States.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inhibition of the complement system by targeting C3 may enable a broad range of therapeutic approaches, and that pegcetacoplan has the potential to address the limitations of existing treatment options or provide a treatment option in indications where there currently are none. We are leading the development of systemic pegcetacoplan in C3 glomerulopathy, or C3G, and immune complex membranoproliferative glomerulonephritis, or IC-MPGN, in nephrology under our collaboration with Sobi. In October 2023, we announced positive results from ten patients treated in the Phase 2 NOBLE trial investigating pegcetacoplan for the treatment of post-transplant recurrence of primary IC-MPGN and C3G. The results showed the potential for a treatment effect in both IC-MPGN and C3G patients treated with pegcetacoplan. Specifically, at 12 weeks, 80% of patients showed a reduction in C3c staining by one or more orders of magnitude of intensity from baseline and 40% of patients showed zero staining intensity, indicating that C3c deposits were cleared. Patients also showed improvements across key clinical measures, including a mean reduction in proteinuria, and stabilized kidney function. There were no discontinuations due to treatment-emergent adverse events. We plan to report top-line data from the ongoing Phase 3 VALIANT trial investigating pegcetacoplan in adolescent and adult patients with native and post-transplant recurrence IC-MPGN and C3G in mid-2024. We are also evaluating the administration of systemic pegcetacoplan as a novel approach to enabling adeno associated virus, or AAV, vector administration for gene therapies.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our collaboration with Sobi, Sobi is leading the development of systemic pegcetacoplan for hematopoietic stem cell transplantation-associated thrombotic microangiopathy, or HSCT-TMA, in hematology. In January 2024, together with Sobi, we discontinued the CASCADE Phase 3 trial evaluating systemic pegcetacoplan in patients with cold agglutinin disease, or CAD, due to the decreased medical need in CAD and the limited number of patients eligible for the CASCADE trial. In May 2023, we and Sobi announced that the Phase 2 MERIDIAN study evaluating systemic pegcetacoplan for amyotrophic lateral sclerosis, or ALS, did not meet its primary or key secondary endpoints. Based on this lack of efficacy, we and Sobi discontinued development of systemic pegcetacoplan for 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Lastly, we are developing additional product candidates with other routes of administration. These candidates include APL-3007, a small interfering RNA, or siRNA, which is in a Phase 1 clinical trial in healthy volunteers with topline data expected in 2024, as well as an oral complement inhibitor in preclinical development. Furthermore, we are collaborating with Beam Therapeutics, Inc., or Beam, on up to six research programs focused on C3 and other complement targets in the eye, liver and brain, using Beam’s proprietary base editing technology to discover new treatments for complement-driven diseases.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and executing the commercial launch of our products and providing general and administrative support for these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Our Approach</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complement system plays a pivotal role in both innate and adaptive immune systems. Complement proteins are produced primarily by the liver and circulate in the blood and through the body’s tissues. The complement system may be activated through three principal pathways known as the classical, lectin and alternative pathways, each of which requires the C3 protein to enable three principal immune responses: opsonization, inflammation and formation of the membrane attack complex, or MAC. When C3 is activated, C3 fragments, such as C3b, tag cell surfaces in a process called opsonization, which marks the cells for removal from tissues or the bloodstream. Two other fragments, C3a and C5a, are released, contributing to inflammation in the surrounding tissues. Further complement activation causes membrane attack complex formation on cell surfaces, piercing holes and causing cells to lyse, or rupture, and others to depolarize or lose membrane potential and become dysfunctional.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figure depicts the complement system, its three principal activation pathways and its principal effects: </w:t>
      </w:r>
    </w:p>
    <w:p>
      <w:pPr>
        <w:pStyle w:val="TextBody"/>
        <w:bidi w:val="0"/>
        <w:spacing w:before="240" w:after="283"/>
        <w:jc w:val="center"/>
        <w:rPr/>
      </w:pPr>
      <w:r>
        <w:rPr/>
        <w:drawing>
          <wp:inline distT="0" distB="0" distL="0" distR="0">
            <wp:extent cx="3619500" cy="310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9500" cy="310515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conditions of excessive or uncontrolled activation, the complement system is believed to play a key role in the incidence and progression of several autoimmune and inflammatory diseases. In these diseases, the complement system acts directly through cell dysregulation and tissue destruction by the membrane attack complex and indirectly by signaling other elements of the immune system to inappropriately target otherwise healthy tissues. Because the contribution of complement activation to the development and progression of these diseases is not fully understood, it has been difficult to develop therapeutics that ameliorate the conditions contributing to these diseases by targeting only one of the complement activation pathways.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Complement activation and its effects can be inhibited in multiple ways. By targeting complement proteins upstream of C3, one of the three principal activation pathways can be inhibited. For example, inhibition of factor B or factor D results in inhibition of the alternative pathway, but not the classical or lectin pathways. The complement system can also be inhibited by targeting complement proteins downstream of C3, which results in limited inhibition of complement effects. For example, inhibition of C5 leads to inhibition of the formation of the membrane attack complex and C5a-mediated inflammation but does not affect cell opsonization by C3 fragments or C3a-mediated inflammation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designed pegcetacoplan to target complement proteins centrally at the level of C3 and its fragment C3b. We believe that this approach can result in broad inhibition of the complement pathways and has the potential to effectively control complement-dependent diseases. We believe that pegcetacoplan has the potential to be a best-in-class treatment and may address the limitations of existing treatment options or provide a treatment option where there is none.</w:t>
      </w:r>
    </w:p>
    <w:p>
      <w:pPr>
        <w:pStyle w:val="TextBody"/>
        <w:bidi w:val="0"/>
        <w:spacing w:before="20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aim to become a leading biopharmaceutical company focused on the discovery, development and commercialization of novel therapeutic compounds to treat diseases in areas such as ophthalmology, rare disease, and neurology through the inhibition of the complement system. We hold commercialization rights for systemic pegcetacoplan, which includes EMPAVELI, in the United States and worldwide commercialization rights to intravitreal pegcetacoplan, which includes SYFOVRE, in addition to worldwide commercialization rights for our other novel compounds targeting complement. To achieve our goals, we are pursuing the following strategies in 2024 with a continued focus on compassion and commitment to patients: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Bringing SYFOVRE to patients with GA globally</w:t>
      </w:r>
      <w:r>
        <w:rPr>
          <w:rFonts w:ascii="Times New Roman" w:hAnsi="Times New Roman"/>
          <w:color w:val="000000"/>
          <w:sz w:val="20"/>
        </w:rPr>
        <w:t>. SYFOVRE was approved by the FDA in February 2023, and is the market leading treatment for GA in the United States. For the year ended December 31, 2023, more than 160,000 doses (commercial, sample) of SYFOVRE were distributed to physician practices and we generated $275.2 million in U.S. net product revenue from sales of SYFOVRE. We intend to vigorously pursue marketing approvals for SYFOVRE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Maximizing EMPAVELI as a first-line treatment in PNH . </w:t>
      </w:r>
      <w:r>
        <w:rPr>
          <w:rFonts w:ascii="Times New Roman" w:hAnsi="Times New Roman"/>
          <w:color w:val="000000"/>
          <w:sz w:val="20"/>
        </w:rPr>
        <w:t xml:space="preserve">EMPAVELI, administered by subcutaneous injection, is commercially available as a monotherapy for adult patients with PNH in the United States. We are continuing our efforts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pPr>
      <w:r>
        <w:rPr>
          <w:rFonts w:ascii="Times New Roman" w:hAnsi="Times New Roman"/>
          <w:color w:val="000000"/>
          <w:sz w:val="20"/>
        </w:rPr>
        <w:t>to make EMPAVELI available to all adult U.S. patients with PNH, regardless of their baseline hemoglobin levels. In 2023, we received approval for two supplemental new drug applications, or sNDAs, broadening the EMPAVELI label and improving the patient experience. The first sNDA was approved in February 2023 and includes treatment-naïve data from the PRINCE study and longer-term, 48-week PEGASUS results. The second sNDA was approved in October 2023 and includes the EMPAVELI Injector.</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w:t>
      </w:r>
      <w:r>
        <w:rPr>
          <w:rFonts w:ascii="Times New Roman" w:hAnsi="Times New Roman"/>
          <w:b/>
          <w:i/>
          <w:color w:val="000000"/>
          <w:sz w:val="20"/>
        </w:rPr>
        <w:t>eveloping systemic pegcetacoplan for the potential treatment of C3G and IC-MPGN</w:t>
      </w:r>
      <w:r>
        <w:rPr>
          <w:rFonts w:ascii="Times New Roman" w:hAnsi="Times New Roman"/>
          <w:color w:val="000000"/>
          <w:sz w:val="20"/>
        </w:rPr>
        <w:t>. We plan to report top-line data from the ongoing Phase 3 VALIANT trial investigating pegcetacoplan in adolescent and adult patients with native and post-transplant recurrence IC-MPGN and C3G in mid-2024.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Advance early pipeline and Beam collaboration</w:t>
      </w:r>
      <w:r>
        <w:rPr>
          <w:rFonts w:ascii="Times New Roman" w:hAnsi="Times New Roman"/>
          <w:color w:val="000000"/>
          <w:sz w:val="20"/>
        </w:rPr>
        <w:t>. We plan to continue the development of treatments for a broad range of complement-dependent autoimmune and inflammatory diseases with systemic pegcetacoplan, APL-3007, our siRNA , and new product candidates and research activities under our collaboration with Beam to develop gene-editing therapies in multiple therapeutic areas including rare diseases and neurology.</w:t>
      </w:r>
    </w:p>
    <w:p>
      <w:pPr>
        <w:pStyle w:val="TextBody"/>
        <w:bidi w:val="0"/>
        <w:spacing w:before="360" w:after="283"/>
        <w:jc w:val="left"/>
        <w:rPr>
          <w:rFonts w:ascii="Times New Roman" w:hAnsi="Times New Roman"/>
          <w:sz w:val="20"/>
        </w:rPr>
      </w:pPr>
      <w:r>
        <w:rPr>
          <w:rFonts w:ascii="Times New Roman" w:hAnsi="Times New Roman"/>
          <w:b/>
          <w:color w:val="000000"/>
          <w:sz w:val="20"/>
        </w:rPr>
        <w:t>Our Programs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Pegcetacoplan targets C3, the central protein of the complement cascade. Pegcetacoplan is a conjugate of a compstatin analogue, formulated both for intravitreal administration by injections directly into the eye, and systemic administration by subcutaneous injection, which is an injection into the tissue under the skin. We have developed and are developing pegcetacoplan and other product candidates through various routes of administration.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summarizes key information about our products and our clinical programs: </w:t>
      </w:r>
    </w:p>
    <w:p>
      <w:pPr>
        <w:pStyle w:val="TextBody"/>
        <w:bidi w:val="0"/>
        <w:spacing w:before="200" w:after="283"/>
        <w:jc w:val="left"/>
        <w:rPr/>
      </w:pPr>
      <w:r>
        <w:rPr/>
        <w:t> </w:t>
      </w:r>
    </w:p>
    <w:p>
      <w:pPr>
        <w:pStyle w:val="TextBody"/>
        <w:bidi w:val="0"/>
        <w:jc w:val="left"/>
        <w:rPr/>
      </w:pPr>
      <w:r>
        <w:rPr/>
        <w:drawing>
          <wp:inline distT="0" distB="0" distL="0" distR="0">
            <wp:extent cx="6858000" cy="2362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3622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Ophthalmology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commercializing SYFOVRE as a monotherapy for patients with GA.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Geographic Atrophy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GA is a type of AMD. According to the Brightfocus Foundation, over ten million people in the United States have some form of AMD. AMD is a disorder of the central portion of the retina in the eye, known as the macula, which is responsible for central vision and color perception. AMD affects vision in one or both eyes and results in progressive and chronic degeneration of the macula, often resulting in irreversible vision loss. AMD is a disease of aging, typically occurring after the age of 50. In the early stage of the disease, yellow deposits, or drusen, appear under the retina. Over time, the disease can progress to an intermediate stage where drusen deposits grow larger and other changes reflective of disease progression appear and then to an advanced stage associated with progressive and often severe vision loss which may be characterized as either GA or wet AMD. GA is characterized by a degenerative process resulting in the progressive loss of retinal cells, which over the course of several years results in blindness. Based on published studies, we estimate that at least five million people worldwide, including more than one million people in the United States, are living with GA.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the American Academy of Ophthalmology, or AAO, in November 2020, a retrospective study of 69,000 patients diagnosed with GA was presented that analyzed changes in visual acuity and disease progression over two years. The analysis was presented by Verana Health, a data analysis group in retinal diseases under a collaboration with us, and the AAO’s IRIS (Intelligent Research in Sight) Registry, the nation’s first comprehensive clinical registry for eye disease. Key findings from the real-world clinical data showed: </w:t>
      </w:r>
    </w:p>
    <w:p>
      <w:pPr>
        <w:pStyle w:val="TextBody"/>
        <w:bidi w:val="0"/>
        <w:spacing w:before="120" w:after="283"/>
        <w:jc w:val="left"/>
        <w:rPr>
          <w:color w:val="111111"/>
        </w:rPr>
      </w:pPr>
      <w:r>
        <w:rPr>
          <w:color w:val="111111"/>
        </w:rPr>
        <w:t>•</w:t>
      </w:r>
    </w:p>
    <w:p>
      <w:pPr>
        <w:pStyle w:val="TextBody"/>
        <w:bidi w:val="0"/>
        <w:spacing w:before="120" w:after="283"/>
        <w:jc w:val="left"/>
        <w:rPr>
          <w:rFonts w:ascii="Times New Roman" w:hAnsi="Times New Roman"/>
          <w:color w:val="111111"/>
          <w:sz w:val="20"/>
        </w:rPr>
      </w:pPr>
      <w:r>
        <w:rPr>
          <w:rFonts w:ascii="Times New Roman" w:hAnsi="Times New Roman"/>
          <w:color w:val="111111"/>
          <w:sz w:val="20"/>
        </w:rPr>
        <w:t xml:space="preserve">At the first study visit, patients presented with relatively preserved vision, especially in eyes with GA lesions without subfoveal involvement (lesions outside the fovea, which is the central portion of the retina). However, patients with or without subfoveal involvement progressively lost vision over time at a rate of approximately five letters on a vision chart per year. </w:t>
      </w:r>
    </w:p>
    <w:p>
      <w:pPr>
        <w:pStyle w:val="TextBody"/>
        <w:bidi w:val="0"/>
        <w:spacing w:before="120" w:after="283"/>
        <w:jc w:val="left"/>
        <w:rPr>
          <w:color w:val="111111"/>
        </w:rPr>
      </w:pPr>
      <w:r>
        <w:rPr>
          <w:color w:val="111111"/>
        </w:rPr>
        <w:t>•</w:t>
      </w:r>
    </w:p>
    <w:p>
      <w:pPr>
        <w:pStyle w:val="TextBody"/>
        <w:bidi w:val="0"/>
        <w:spacing w:before="120" w:after="283"/>
        <w:jc w:val="left"/>
        <w:rPr>
          <w:rFonts w:ascii="Times New Roman" w:hAnsi="Times New Roman"/>
          <w:color w:val="111111"/>
          <w:sz w:val="20"/>
        </w:rPr>
      </w:pPr>
      <w:r>
        <w:rPr>
          <w:rFonts w:ascii="Times New Roman" w:hAnsi="Times New Roman"/>
          <w:color w:val="111111"/>
          <w:sz w:val="20"/>
        </w:rPr>
        <w:t xml:space="preserve">Progression from GA to new onset wet AMD was observed in 4.7% of patients with bilateral GA (GA in both eyes) and 13.3% of patients with wet AMD in the contralateral eye (AMD in the non-treatment eye) during the first 12 months. The rate at 24 months was 8.2% and 21.6% in bilateral GA and wet AMD in the contralateral eye, respectively. </w:t>
      </w:r>
    </w:p>
    <w:p>
      <w:pPr>
        <w:pStyle w:val="TextBody"/>
        <w:bidi w:val="0"/>
        <w:spacing w:before="120" w:after="283"/>
        <w:jc w:val="left"/>
        <w:rPr>
          <w:color w:val="111111"/>
        </w:rPr>
      </w:pPr>
      <w:r>
        <w:rPr>
          <w:color w:val="111111"/>
        </w:rPr>
        <w:t>•</w:t>
      </w:r>
    </w:p>
    <w:p>
      <w:pPr>
        <w:pStyle w:val="TextBody"/>
        <w:bidi w:val="0"/>
        <w:spacing w:before="120" w:after="283"/>
        <w:jc w:val="left"/>
        <w:rPr>
          <w:rFonts w:ascii="Times New Roman" w:hAnsi="Times New Roman"/>
          <w:color w:val="111111"/>
          <w:sz w:val="20"/>
        </w:rPr>
      </w:pPr>
      <w:r>
        <w:rPr>
          <w:rFonts w:ascii="Times New Roman" w:hAnsi="Times New Roman"/>
          <w:color w:val="111111"/>
          <w:sz w:val="20"/>
        </w:rPr>
        <w:t xml:space="preserve">A large proportion of GA patients did not return for a follow-up visit after two years. Of the GA patients potentially eligible for inclusion in the analysis, only 40% had a follow-up visit after two years and were ultimately included in the study.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mechanism by which complement activation is upregulated and can damage the retina is poorly understood. However, we believe that the upregulation of complement activation due to immune dysregulation damages retinal cells in two ways. First, retinal cells are damaged by inflammation caused by increased levels of C3a and C5a. Second, the increased deposition of C3b on the cell surface of retinal cells caused by complement activation, combined with the limited ability of cells to remove C3 activated fragments such as C3b, leads to the accumulation of C3 fragments on the retinal cells. The presence of C3a and C5a, as well as C3 fragment deposition on retinal cells, activates macrophages and microglia. Macrophages are large white blood cells that form part of the immune system that engulf and digest cells, debris and foreign substances. Macrophages also play an important role in modulating other parts of the immune system. Microglia are a type of tissue-residing macrophage located in the brain, spinal cord and retina.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Because pegcetacoplan both blocks the production of C3a and C5a and prevents the accumulation of C3 fragments on retinal cells through the inhibition of C3, we believe that pegcetacoplan may control complement activation in the retinal environment to return it to its quiescent state. We do not believe that selective inhibitors of the alternative pathway, which would only partially block the formation of C3b on the retinal cell surface, or C5 inhibitors, which cannot prevent C3b deposition on retinal cells, can cause the retinal environment to return to its quiescent state. </w:t>
      </w:r>
    </w:p>
    <w:p>
      <w:pPr>
        <w:pStyle w:val="TextBody"/>
        <w:bidi w:val="0"/>
        <w:spacing w:before="240" w:after="283"/>
        <w:jc w:val="left"/>
        <w:rPr>
          <w:rFonts w:ascii="Times New Roman" w:hAnsi="Times New Roman"/>
          <w:sz w:val="20"/>
        </w:rPr>
      </w:pPr>
      <w:r>
        <w:rPr>
          <w:rFonts w:ascii="Times New Roman" w:hAnsi="Times New Roman"/>
          <w:b/>
          <w:i/>
          <w:color w:val="000000"/>
          <w:sz w:val="20"/>
        </w:rPr>
        <w:t>Benefits of Our Approach</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SYFOVRE, with its inhibition of complement activation at the level of C3 in the retinal environment, may provide the following benefits for patients with GA: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Prevention or reduction of the rate of retinal cell death, with increasing treatment effects over time</w:t>
      </w:r>
      <w:r>
        <w:rPr>
          <w:rFonts w:ascii="Times New Roman" w:hAnsi="Times New Roman"/>
          <w:color w:val="000000"/>
          <w:sz w:val="20"/>
        </w:rPr>
        <w:t>. We believe SYFOVRE may mitigate or prevent retinal cell death in GA, leading to a reduction in GA lesion growth over time. In our Phase 3 trials, SYFOVRE showed a slowing of GA progression, with evidence of treatment effects increasing over the 24-month period, and well-demonstrated safety profile following nearly 12,000 injections. In November 2023, we presented 36-month data from our GALE extension study in which SYFOVRE continued to demonstrate evidence of increasing treatment effects over time, including more than 40% reduction in nonsubfoveal GA lesion growth in third year following monthly dosing as compared to projected sham.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Treatment effects observed in two dosing regimens. </w:t>
      </w:r>
      <w:r>
        <w:rPr>
          <w:rFonts w:ascii="Times New Roman" w:hAnsi="Times New Roman"/>
          <w:color w:val="000000"/>
          <w:sz w:val="20"/>
        </w:rPr>
        <w:t>In our Phase 3 trials, SYFOVRE showed a slowing of GA progression over 24 months in both every-other-month and monthly dosing. The prescribing label for SYFOVRE indicates that the recommended dose to be administered to each eye is once every 25 to 60 days. This provides physicians with flexibility to determine the appropriate dosing schedule for their individual patients.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Potential application to all patients with GA regardless of lesion location. </w:t>
      </w:r>
      <w:r>
        <w:rPr>
          <w:rFonts w:ascii="Times New Roman" w:hAnsi="Times New Roman"/>
          <w:color w:val="000000"/>
          <w:sz w:val="20"/>
        </w:rPr>
        <w:t>SYFOVRE, by targeting C3, has been designed to inhibit all three principal complement activation pathways and may therefore be effective in a broad patient population. In our Phase 3 trials at 24 months, pegcetacoplan showed a slowing of GA progression in lesions with or without subfoveal involvement. DERBY and OAKS are the only clinical trials to-date that have shown a slowdown in the progression of GA regardless of lesion location.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Regulatory Matters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2023, intravitreal pegcetacoplan was approved by the FDA with the brand name SYFOVRE for the treatment of adult patients with GA secondary to AMD. In December 2022, we also submitted an MAA to the EMA for intravitreal pegcetacoplan for the treatment of GA. The EMA subsequently provided MAA validation and the application is under review. In January 2024,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announced that the CHMP adopted a negative opinion on the MAA. We are seeking immediate re-examination of the opinion. Our marketing applications for the treatment of GA are currently under review by regulatory authorities in Canada, Australia, the United Kingdom, and Switzerland.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Commercial and Medical Activities for GA Launch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launched SYFOVRE, the first approved treatment for GA, in the United States in March 2023. SYFOVRE is currently the market-leading treatment for GA, a disease that affects more than one million people in the United States and five million people worldwide.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U.S. field sales team has been engaging with eyecare professionals, or ECPs, focusing specifically on retina specialists and treating ophthalmologists in person, at conferences and virtually. Field teams are focused on SYFOVRE brand messaging and clinical overview, highlighting key advantages such as increasing effects over time, its strong clinical profile, and dosing flexibility. We also have a thought leader liaison team who is focused on building advocacy with key opinion leaders in the retina space and a strategic account team to identify and develop working relationships with key decision makers within targeted private equity groups and large accounts. Our marketing efforts also reach ECPs through digital and print media. We reach patients through direct-to-consumer (TV, print and digital media) disease state education and branded SYFOVRE messaging encouraging them to see their eye doctor if they have symptoms or a previous diagnosis.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market access team has been engaging with primary and secondary payers representing a significant percentage of GA patients. We have also established a robust distribution network by partnering with key specialty distributors and specialty pharmacies to maximize product access by retina specialists. Finally, we have a field reimbursement team to educate practices and address access issues to fully support the reimbursement journey for SYFOVRE.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ApellisAssist for SYFOVRE is designed to eliminate patient access barriers by providing enrolled individuals with insurance support, financial assistance for eligible patients, and education on the importance of maintaining treatment as prescribed. Additionally, prescribers will have the option to enroll their patients in GAMyWay, our patient services program, for ongoing treatment support and continuous education.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medical affairs team is engaging with ECPs, either in-person or virtually, and through our presence at medical meetings and other in-person engagements when appropriate. Throughout 2023, we participated in key scientific meetings, including the American Academy of Ophthalmology, Retina Society, FLORETINA, and Macula Society.</w:t>
      </w:r>
    </w:p>
    <w:p>
      <w:pPr>
        <w:pStyle w:val="TextBody"/>
        <w:bidi w:val="0"/>
        <w:spacing w:before="20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Clinical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initiated the Phase 3 DERBY and OAKS trials evaluating the efficacy and safety of SYFOVRE in patients with GA secondary to AMD in September 2018. We presented reported 24-month results from our DERBY and OAKS trials in August 2022, following 18-month results presented in March 2022 and 12-month results presented in September 2021. In July 2018, we received fast track designation from the FDA for pegcetacoplan in GA. In August 2017, we completed the primary endpoint analysis for the 12-month treatment period for the Phase 2 FILLY trial and in February 2018 we completed the analysis of data from the six-month post-treatment monitoring period from that trial. Prior to the FILLY trial, we completed a Phase 1 trial of pegcetacoplan in patients with wet AMD in 2016.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Phase 3 Clinical Trials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Phase 3 clinical program in GA consisted of two prospective, multicenter, randomized, double-masked, sham-injection controlled trials (DERBY and OAKS) conducted at more than 200 sites worldwide to assess the efficacy and safety of multiple intravitreal injections of pegcetacoplan in patients with GA. We enrolled 621 patients in DERBY and 637 patients in OAKS.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Patients in each Phase 3 trial received a dose of 15 mg of pegcetacoplan injected intravitreally in a 0.1 cc volume, monthly or every other month for 24 months. In the sham-injection cohorts, patients received a simulated injection. As with our Phase 2 FILLY clinical trial, the primary endpoint of each trial was the change in total area of GA lesions in the study eye compared to sham. The measurements of change in lesion size were analyzed at 12 months, 18 months, and 24 months. Patients who develop new onset exudation in the study eye continued to be treated with pegcetacoplan along with anti-VEGF injections, the current standard of care for wet AMD.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completed the primary analysis for the 24-month treatment period in August 2022. Monthly and every-other-month, or EOM, treatment with SYFOVRE showed increased effects over time. In OAKS, monthly and EOM treatment with SYFOVRE reduced GA lesion growth by 22% (p&lt;0.0001) and 18% (p=0.0002), respectively. In DERBY, monthly and EOM treatment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 xml:space="preserve">SYFOVRE reduced GA lesion growth by 19% (p=0.0004) and 16% (p=0.0030), respectively. All p-values are nominal and were calculated using the same methodologies as the 12-month primary endpoint analysis. </w:t>
      </w:r>
    </w:p>
    <w:p>
      <w:pPr>
        <w:pStyle w:val="TextBody"/>
        <w:bidi w:val="0"/>
        <w:jc w:val="left"/>
        <w:rPr>
          <w:rFonts w:ascii="Times New Roman" w:hAnsi="Times New Roman"/>
          <w:sz w:val="20"/>
        </w:rPr>
      </w:pPr>
      <w:r>
        <w:rPr>
          <w:rFonts w:ascii="Times New Roman" w:hAnsi="Times New Roman"/>
          <w:color w:val="000000"/>
          <w:sz w:val="20"/>
        </w:rPr>
        <w:t>Between months 18-24, the pegcetacoplan treatment effect accelerated compared to previous six-month periods, with robust reductions of GA lesion growth versus sham (all p-values are nominal). The increased effects were driven by a greater slowing of lesion growth by pegcetacoplan and not by an increase in the lesion growth rate in the sham group, which was highly consistent over each of the four six-month intervals (1.0+/-0.05 mm</w:t>
      </w:r>
      <w:r>
        <w:rPr>
          <w:rFonts w:ascii="Times New Roman" w:hAnsi="Times New Roman"/>
          <w:color w:val="000000"/>
          <w:sz w:val="13"/>
        </w:rPr>
        <w:t>2</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DERBY: 36% monthly, p&lt;0.0001; 29% EOM, p=0.0002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OAKS: 24% monthly, p=0.0080; 25% EOM, p=0.0007</w:t>
      </w:r>
    </w:p>
    <w:p>
      <w:pPr>
        <w:pStyle w:val="TextBody"/>
        <w:bidi w:val="0"/>
        <w:jc w:val="left"/>
        <w:rPr>
          <w:rFonts w:ascii="Times New Roman" w:hAnsi="Times New Roman"/>
          <w:color w:val="000000"/>
          <w:sz w:val="20"/>
        </w:rPr>
      </w:pPr>
      <w:r>
        <w:rPr>
          <w:rFonts w:ascii="Times New Roman" w:hAnsi="Times New Roman"/>
          <w:color w:val="000000"/>
          <w:sz w:val="20"/>
        </w:rPr>
        <w:t>Additionally, the reduction of GA lesion growth in lesions without subfoveal involvement (28% monthly; 28% EOM) was comparable to the reduction in lesions with subfoveal involvement (34% monthly; 28% EOM) in the combined studies between months 18-24.</w:t>
      </w:r>
    </w:p>
    <w:p>
      <w:pPr>
        <w:pStyle w:val="TextBody"/>
        <w:bidi w:val="0"/>
        <w:jc w:val="left"/>
        <w:rPr>
          <w:rFonts w:ascii="Times New Roman" w:hAnsi="Times New Roman"/>
          <w:color w:val="000000"/>
          <w:sz w:val="20"/>
        </w:rPr>
      </w:pPr>
      <w:r>
        <w:rPr>
          <w:rFonts w:ascii="Times New Roman" w:hAnsi="Times New Roman"/>
          <w:color w:val="000000"/>
          <w:sz w:val="20"/>
        </w:rPr>
        <w:t>SYFOVRE was well-tolerated in both DERBY and OAKS, generally consistent with longer-term exposure to intravitreal injections. The most common adverse reactions (≥ 5%) reported in patients receiving SYFOVRE in these studies were ocular discomfort, neovascular AMD, vitreous floaters, and conjunctival hemorrhage. Rates of ischemic optic neuropathy events were higher in the monthly group as compared to the every-other-month and sham groups (1.7% of patients treated monthly, 0.2% of patients treated EOM and 0.0% of patients assigned to sham). Rates of endophthalmitis and intraocular inflammation were generally in line with those reported in studies of other intravitreal therapies. No events of occlusive or non-occlusive vasculitis or retinitis were observed over 24 months.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used a liquid formulation of pegcetacoplan in our Phase 3 trials instead of the freeze-dried formulation that we used in the Phase 2 FILLY trial, which we believe may reduce the incidence of endophthalmitis.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Long-term Extension Study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currently conducting a 36-month, open-label extension study (GALE) to evaluate the long-term safety and efficacy of intravitreal pegcetacoplan in patients with GA secondary to AMD. The objectives of the study are to evaluate the long-term incidence and severity of ocular and systemic treatment emergent adverse events as well as change in the total area of GA lesions as measured by fundus autofluorescence. Approximately 800 patients enrolled into the GALE extension study.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2023, we presented data from GALE following three years of continuous treatment with SYFOVRE. Results showed that SYFOVRE continued to demonstrate increasing treatment effects over time. In year three, SYFOVRE (all p-values are nominal):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GA lesion growth with both monthly (35%; p&lt;0.0001) and every-other-month (EOM) (24%; p&lt;0.0001) treatment compared to the projected sham 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nonsubfoveal GA lesion growth with both monthly (42%; p&lt;0.0001) and EOM (28%; p=0.0015) treatment compared to the projected sham 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GA lesion growth by 19% (p&lt;0.0001) after one year of SYFOVRE treatment (combined monthly and EOM), compared to the sham treatment period, in patients who crossed over from the sham group.</w:t>
      </w:r>
    </w:p>
    <w:p>
      <w:pPr>
        <w:pStyle w:val="TextBody"/>
        <w:bidi w:val="0"/>
        <w:jc w:val="left"/>
        <w:rPr>
          <w:rFonts w:ascii="Times New Roman" w:hAnsi="Times New Roman"/>
          <w:color w:val="000000"/>
          <w:sz w:val="20"/>
        </w:rPr>
      </w:pPr>
      <w:r>
        <w:rPr>
          <w:rFonts w:ascii="Times New Roman" w:hAnsi="Times New Roman"/>
          <w:color w:val="000000"/>
          <w:sz w:val="20"/>
        </w:rPr>
        <w:t>The safety profile of SYFOVRE in year three remained consistent with previously reported data.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Phase 2 Clinical Trial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third quarter of 2015, we initiated FILLY, our Phase 2 multicenter, randomized, single-masked, sham-controlled clinical trial of SYFOVRE in patients with GA. We enrolled 246 patients in the trial. Patients were randomized in a 2:2:1:1 manner to receive pegcetacoplan monthly, pegcetacoplan EOM, sham injection monthly or sham injection EOM. Patients in the pegcetacoplan arms received a dose of 15 mg of pegcetacoplan injected intravitreally in a 0.1 cc volume, monthly or every other month for 12 months followed by six months of monitoring without treatment. In the sham-injection cohorts, patients received a simulated injection. Study eyes received up to 13 injections in the monthly arm, and up to seven injections in the every-other-month arm. Eyes were evaluated for GA at the end of months two, six, 12 and 18.</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primary efficacy endpoint was change in the square root of GA lesion size from baseline to month 12 in each treatment arm when compared to sham in the modified intent to treat population, which included 84 patients receiving administration of pegcetacoplan every month, 78 patients receiving administration of pegcetacoplan every other month and 80 patients in the group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receiving sham injections. The primary safety endpoint was the number and severity of local and systemic treatment emergent adverse events. The trial was monitored by a safety monitoring committee.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announced 12-month results of the Phase 2 trial in August 2017. After 12 months, patients treated monthly with pegcetacoplan showed a 29% reduction in the rate of GA lesion growth compared to sham (p-value=0.008), and patients treated EOM showed a 20% reduction compared to sham (p-value=0.067). The rate of GA lesion growth in the sham was consistent with the rate of lesion growth in patients with GA in third-party historical studies.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After the 12-month treatment period, patients were monitored for a further six months without treatment. During the monitoring period, the GA lesions in the previously treated groups grew at a rate similar to sham but the treatment effect was maintained for the full 18 months. Patients who received monthly pegcetacoplan, and for whom images were available at 12 and 18 months showed a 12% reduction in the growth rate of lesions over the six-month monitoring period compared to sham, while patients who received EOM administration of pegcetacoplan showed a 9% reduction in the growth rate of lesions over the six-month monitoring period compared to sham. These differences are not considered to be statistically significant. In the modified intent to treat population over the full 18-month period, patients who received monthly pegcetacoplan showed a 20% reduction in the growth rate of lesions over the full 18-month period compared to sham, while patients who received EOM administration of pegcetacoplan showed a 16% reduction in the growth rate of lesions over the full 18-month period compared to sham.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most frequently reported adverse events in the trial were associated with the injection procedure in the study eye. These adverse events included two cases of confirmed endophthalmitis and one case of presumed endophthalmitis where the culture tested negative for bacterial growth. In the latter case, the patient fully recovered visual acuity. In our Phase 2 trial, we observed an incidence rate of endophthalmitis of 0.21% per injection.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during the 12-month treatment period and the six-month monitoring period, we observed a higher incidence of new onset exudation in the study eyes treated with pegcetacoplan as compared to sham, predominantly in patients with a history of wet AMD in the fellow eye. Specifically, we observed that, after the 12-month treatment period and the six-month monitoring period, 18 patients (21%) receiving administration of pegcetacoplan every month and seven patients (9%) receiving administration of pegcetacoplan every other month showed new onset exudation in the study eye, as compared to one patient (1%) in the sham group.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Patients who experienced new onset exudation in the study eye were discontinued from treatment with pegcetacoplan and, in all but one case, treated with standard of care anti-VEGF injections under supervision. There was no meaningful negative impact on visual acuity resulting from the new onset exudations.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Rare Disease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Together with Sobi, we are developing systemic pegcetacoplan in multiple late-stage programs in rare disease indications in hematology and nephrology. We are leading the clinical development for the treatment of C3G/IC-MPGN, and Sobi is leading the clinical development for the treatment of HSCT-TMA. In PNH, we and Sobi have now obtained approval of systemic pegcetacoplan for the treatment of PNH in multiple jurisdictions, including the United States and the European Union.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Paroxysmal Nocturnal Hemoglobinuria (PNH)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PNH is a rare, chronic, debilitating blood disorder that is most frequently acquired in early adulthood and usually continues throughout the life of the patient. Some of the prominent symptoms of PNH include severe anemia, a condition that results from having too few red blood cells, severe abdominal pain, severe headaches, back pain, excessive weakness, fatigue and recurrent infections. If not treated, PNH results in the death of approximately 35% of affected individuals within five years of diagnosis and 50% of affected individuals within ten years of diagnosis, primarily due to the formation of life-threatening blood clots inside the blood vessels, or thrombosis. Based on prevalence data published in an abstract in a peer-reviewed journal, we estimate that there are approximately 4,700 patients with PNH in the United States and approximately 15,000 patients with PNH worldwide.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PNH is caused by the presence of mutant stem cells in the bone marrow that lack important proteins on their surface that protect against activation of the complement system. In patients with PNH, an autoimmune response targets and eliminates normal stem cells, enabling mutant cells to become dominant in the bone marrow. These mutant stem cells lead to mutant platelets and red blood cells that, unlike normal cells, are overly susceptible to activation or destruction by the complement system. Mutant platelets, activated by the membrane attack complex, increase the risk of thrombosis, which is the leading cause of mortality in patients with PNH. Mutant red blood cells are susceptible to destruction by intravascular and extravascular hemolysis. Intravascular hemolysis, which involves the destruction of blood cells within the blood vessels, is caused by the formation of the membrane attack complex on the surface of red blood cells causing them to rupture. Intravascular hemolysis causes severe anemia and contributes to the risk of thrombosis. Extravascular hemolysis, which involves the destruction of blood cells outside the blood vessels, is caused by C3-related opsonization on red blood cells leading to removal of the cells from the blood stream by the liver and the spleen. Extravascular hemolysis further contributes to severe anemia and transfusion dependency in patients with PNH.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i/>
          <w:color w:val="000000"/>
          <w:sz w:val="20"/>
        </w:rPr>
        <w:t>Benefits of Our Approach</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because systemic pegcetacoplan inhibits complement activation at the level of C3, and based on the results from our Phase 3 PEGASUS and PRINCE studies, systemic pegcetacoplan provides the following benefits in controlling PNH: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Prevention of intravascular hemolysis and its consequences</w:t>
      </w:r>
      <w:r>
        <w:rPr>
          <w:rFonts w:ascii="Times New Roman" w:hAnsi="Times New Roman"/>
          <w:color w:val="000000"/>
          <w:sz w:val="20"/>
        </w:rPr>
        <w:t xml:space="preserve">. Systemic pegcetacoplan may prevent the formation of the membrane attack complex on blood cells and thereby prevents the activation of mutant platelets and intravascular hemolysis, thus reducing the risk of thrombosis, the leading cause of mortality in PNH, as well as reducing anemia.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Prevention of extravascular hemolysis and its consequences</w:t>
      </w:r>
      <w:r>
        <w:rPr>
          <w:rFonts w:ascii="Times New Roman" w:hAnsi="Times New Roman"/>
          <w:color w:val="000000"/>
          <w:sz w:val="20"/>
        </w:rPr>
        <w:t xml:space="preserve">. Systemic pegcetacoplan may prevent C3b opsonization, on blood cells, and thereby prevents extravascular hemolysis, further reducing anemia and transfusion dependency in patients with PNH.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Ease and convenience of use</w:t>
      </w:r>
      <w:r>
        <w:rPr>
          <w:rFonts w:ascii="Times New Roman" w:hAnsi="Times New Roman"/>
          <w:color w:val="000000"/>
          <w:sz w:val="20"/>
        </w:rPr>
        <w:t>. The ability to self-administer pegcetacoplan by the EMPAVELI injector or subcutaneous injection on a regular basis, which may improve the quality of life for patients with PNH by eliminating the need to travel to a health care facility for intravenous treatment.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Regulatory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2021, systemic pegcetacoplan was approved by the FDA with the brand name EMPAVELI for the treatment of adult patients with PNH. In December 2021, the European Commission approved systemic pegcetacoplan with the brand name Aspaveli for the treatment of adults with PNH who are anemic after treatment with a C5 inhibitor for at least three months. Aspaveli was approved in the United Kingdom in March 2022 and in Japan in March 2023. In January 2024, following the submission of the Phase 3 PRINCE data in treatment-naïve PNH patients, the EC updated the Aspaveli indication statement to include all PNH patients with hemolytic anemia. In January 2022, pegcetacoplan was also approved as EMPAVELI in Saudi Arabia and Australia.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2022, we submitted two sNDAs to the FDA intended to strengthen the EMPAVELI label and improve the patient experience. The first sNDA was approved in February 2023 and includes the treatment-naïve data from the PRINCE study and the longer-term, 48-week PEGASUS results. The second sNDA for the EMPAVELI injector was approved in October 2023.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Commercial and Medical Activities for EMPAVELI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launched EMPAVELI in the United States for patients with PNH following its approval by the FDA in May 2021. We believe that with EMPAVELI we can elevate the standard of care for patients and are seeking to further establish EMPAVELI as first-line treatment. Between launch through December 31, 2023, we generated net product revenue from sales of EMPAVELI of $171.3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sales team is covering the health care professionals, or HCPs, and key treatment centers, focusing on HCPs who have patients that continue to experience breakthrough hemolysis, have persistently low hemoglobin, high fatigue, and require transfusions despite being on C5 inhibitors.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market access team is engaging with primary and secondary payers representing a significant percentage of PNH patients. Our discussions with primary and secondary payers have yielded positive feedback on the clinical profile of pegcetacoplan and resulted in EMPAVELI being added to several positive formulary positions. We implemented a limited distribution specialty pharmacy model, which we believe provided patients with a consistent, positive experience at the time of treatment initiation and long-term assistance to the extent needed.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also have Apellis Assist, a patient-focused program specifically designed to assist patients with onboarding, product training and ongoing support with pegcetacoplan treatment, and we have built a care educator team to connect directly with PNH patients and their caregivers to provide education and training on the use of pegcetacoplan.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medical affairs team is engaging with physicians through our presence at medical meetings and other in-person engagements. In December 2023, we participated in the American Hematology Society, or ASH, annual meeting. Sobi will conduct medical affairs activities for systemic pegcetacoplan outside the United States.</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systemic pegcetacoplan is a best-in-class therapy for PNH, differentiated by mechanism, and that it has the potential to significantly increase the quality of life of patients with PNH as compared to the current standard of care.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Phase 3 Clinical Trial - PEGASUS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initiated the Phase 3 PEGASUS trial in patients in June 2018. The PEGASUS trial was an 80-patient randomized head-to-head trial comparing systemic pegcetacoplan monotherapy to eculizumab monotherapy in patients with PNH currently on treatment with eculizumab who have a hemoglobin level of less than 10.5 g/dL, regarding of eculizumab dose or transfusion history. The primary efficacy endpoint of the trial was the change in hemoglobin level from baseline at week 16.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treatment period of the trial consisted of three parts: a four-week run-in period, a 16-week randomized treatment period and a 32-week open-label pegcetacoplan only period. During the run-in period, all patients received twice-weekly subcutaneous doses of 1,080 mg of pegcetacoplan in addition to patients’ then current dose of eculizumab. The run-in period was designed to provide patients with sufficient plasma concentration of pegcetacoplan to provide for what we expected to be adequate complement inhibition before withdrawing eculizumab. Following completion of the run-in period, patients received either 1,080 mg of pegcetacoplan twice per week or their current dose of eculizumab through the duration of the 16-week randomized treatment period. Following completion of the randomized treatment period with either pegcetacoplan monotherapy or eculizumab monotherapy, all 80 patients had the option to receive pegcetacoplan monotherapy for 32 weeks in an open-label treatment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January 2020, we announced top-line data from the PEGASUS trial that showed that systemic pegcetacoplan met the primary efficacy endpoint, demonstrating superiority to eculizumab with a statistically significant improvement in adjusted means of 3.8 g/dL of hemoglobin at week 16 (p &lt; 0.0001). At week 16, pegcetacoplan-treated patients (n = 41) had an adjusted mean hemoglobin increase of 2.4 g/dL from a baseline of 8.7 g/dL, compared to eculizumab-treated patients (n = 39) who had a change of -1.5 g/dL from a baseline of 8.7 g/dL. Additionally, pegcetacoplan showed promising results in key secondary endpoints. Pegcetacoplan met non-inferiority on transfusion avoidance and absolute reticulocyte count. Pegcetacoplan did not meet pre-specified criteria for non-inferiority on mean LDH levels. Pegcetacoplan showed positive trends on LDH and fatigue as measured by the FACIT-fatigue score. The statistical analysis plan for the PEGASUS trial provided for use of the mixed model—repeated measures (MMRM) method. To avoid the effect of transfusions in hemoglobin levels during the 16-week randomization period of the trial, if a patient received a transfusion during the 16-week randomization period, any measurements after the first transfusion were censored from the data used in the MMRM analysis. The treatment effects using observed data from the trial, which included all post-transfusion measurements, were consistent with and supportive of the reported results from the MMRM analysis.</w:t>
      </w:r>
    </w:p>
    <w:p>
      <w:pPr>
        <w:pStyle w:val="TextBody"/>
        <w:bidi w:val="0"/>
        <w:spacing w:before="200" w:after="283"/>
        <w:jc w:val="left"/>
        <w:rPr>
          <w:rFonts w:ascii="Times New Roman" w:hAnsi="Times New Roman"/>
          <w:sz w:val="20"/>
        </w:rPr>
      </w:pPr>
      <w:r>
        <w:rPr>
          <w:rFonts w:ascii="Times New Roman" w:hAnsi="Times New Roman"/>
          <w:color w:val="000000"/>
          <w:sz w:val="20"/>
        </w:rPr>
        <w:t>All patients who completed the 16-week randomization period in both groups (77/80) entered the 32-week open-label pegcetacoplan treatment period.</w:t>
      </w:r>
      <w:r>
        <w:rPr>
          <w:rFonts w:ascii="Times New Roman" w:hAnsi="Times New Roman"/>
          <w:color w:val="4A4F54"/>
          <w:sz w:val="20"/>
        </w:rPr>
        <w:t xml:space="preserve"> </w:t>
      </w:r>
      <w:r>
        <w:rPr>
          <w:rFonts w:ascii="Times New Roman" w:hAnsi="Times New Roman"/>
          <w:color w:val="000000"/>
          <w:sz w:val="20"/>
        </w:rPr>
        <w:t>At week 48, patients treated with pegcetacoplan during the 16-week randomization period and through the 32-week open-label period sustained increases in hemoglobin levels, with a mean improvement from baseline of 2.7 g/dL, equal to the 2.7 g/dL mean increase seen at week 16 in the same patients. Additionally, patients treated with eculizumab in the randomized period who switched to pegcetacoplan during the open-label period experienced sustained improvements in hemoglobin and other hematological and clinical measures, similar to patients treated with pegcetacoplan monotherapy during the randomized controlled period. In addition to a sustained improvement in hemoglobin, the pegcetacoplan-treated patients group maintained improvements across key secondary endpoints. Throughout the 48-week study, 73% of patients treated with pegcetacoplan during the randomized period remained transfusion free. For comparison, 25% of patients were transfusion free over the year prior to entering the PEGASUS study while on treatment with eculizumab. Improvements across additional markers of disease, such as reticulocyte count, lactate dehydrogenase, or LDH, levels, and the FACIT-fatigue scores, were observed in both groups at week 48 after 32 weeks of open-label treatment with pegcetacoplan.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PEGASUS trial, the safety profile of systemic pegcetacoplan was comparable to eculizumab and consistent with previously reported data. After the 48-week study period, 24 of 80 pegcetacoplan monotherapy-treated patients (30%) experienced a serious adverse event, or SAE. Five of the SAEs (6%) were assessed to be possibly related to study treatment. No cases of meningitis were reported. One death was reported due to COVID-19 and was unrelated to study treatment. The most common adverse events (AEs) reported throughout the study were injection site reactions (36%), hemolysis (24%), and diarrhea (21%). Twelve out of 80 patients (15%) discontinued due to adverse events, with five discontinuations due to hemolysis. Sixty-four of the 67 patients (96%) who completed the open-label period opted to enter the extension study. </w:t>
      </w:r>
    </w:p>
    <w:p>
      <w:pPr>
        <w:pStyle w:val="TextBody"/>
        <w:bidi w:val="0"/>
        <w:spacing w:before="240" w:after="283"/>
        <w:jc w:val="left"/>
        <w:rPr>
          <w:rFonts w:ascii="Times New Roman" w:hAnsi="Times New Roman"/>
          <w:sz w:val="20"/>
        </w:rPr>
      </w:pPr>
      <w:r>
        <w:rPr>
          <w:rFonts w:ascii="Times New Roman" w:hAnsi="Times New Roman"/>
          <w:i/>
          <w:color w:val="000000"/>
          <w:sz w:val="20"/>
        </w:rPr>
        <w:t>Phase 3 Clinical Trial – PRINCE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initiated the Phase 3 PRINCE trial in September 2019. The PRINCE trial was a 54-patient randomized, multicenter, open-label trial to evaluate the efficacy of systemic pegcetacoplan in treatment-naïve PNH patients. The primary endpoints were avoidance of a greater than 1 g/dL decrease in hemoglobin level from baseline in the absence of transfusion through week 26 and reduction in LDH level from baseline to week 26, in patients with PNH who are currently not being treated with complement inhibitors. Secondary endpoints included hemoglobin response (defined as an increase in hemoglobin levels greater than or equal to 1 g/dL), change in absolute reticulocyte count, change in hemoglobin levels, number of packed red blood cells transfused, change in FACIT score, hemoglobin normalization and LDH normalization.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2021, we reported top-line results from PRINCE demonstrating statistical superiority on the co-primary endpoints of hemoglobin stabilization and reduction in LDH compared to standard of care, which did not include complement inhibitors, at week 26. Specifically, 86% of EMPAVELI-treated patients achieved hemoglobin stabilization compared to 0% of patients on standard of care (p&lt;0.0001). Hemoglobin stabilization was defined as an avoidance of a &gt;1 g/dL decrease in hemoglobin levels in the absence of transfusions. Additionally, mean LDH in the EMPAVELI group decreased by 90% from a baseline of 2151 U/L, which is 9.5 times the upper limit of normal (ULN), to 211 U/L, which is within the normal range, compared to a 14% reduction on standard of care from a baseline of 1946 U/L to 1681 U/L (p&lt;0.0001).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EMPAVELI also achieved statistical superiority on several secondary endpoints, including improvements in hemoglobin levels and transfusion avoidance, compared to standard of care, which did not include complement inhibitors. Mean hemoglobin levels in the EMPAVELI group increased from 9.4 g/dL to 12.1 g/dL compared to an increase from a baseline of 8.7 g/dL to 9.4 g/dL on standard of care (p=0.0019). Further, 91% of patients on EMPAVELI avoided transfusions compared to 6% on standard of care (p&lt;0.0001).</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Long-Term Extension Study</w:t>
      </w:r>
    </w:p>
    <w:p>
      <w:pPr>
        <w:pStyle w:val="TextBody"/>
        <w:bidi w:val="0"/>
        <w:spacing w:before="200" w:after="283"/>
        <w:jc w:val="left"/>
        <w:rPr>
          <w:rFonts w:ascii="Times New Roman" w:hAnsi="Times New Roman"/>
          <w:sz w:val="20"/>
        </w:rPr>
      </w:pPr>
      <w:r>
        <w:rPr>
          <w:rFonts w:ascii="Times New Roman" w:hAnsi="Times New Roman"/>
          <w:color w:val="111111"/>
          <w:sz w:val="20"/>
        </w:rPr>
        <w:t xml:space="preserve">We are conducting a long-term extension study of </w:t>
      </w:r>
      <w:r>
        <w:rPr>
          <w:rFonts w:ascii="Times New Roman" w:hAnsi="Times New Roman"/>
          <w:color w:val="000000"/>
          <w:sz w:val="20"/>
        </w:rPr>
        <w:t>systemic pegcetacoplan</w:t>
      </w:r>
      <w:r>
        <w:rPr>
          <w:rFonts w:ascii="Times New Roman" w:hAnsi="Times New Roman"/>
          <w:color w:val="111111"/>
          <w:sz w:val="20"/>
        </w:rPr>
        <w:t xml:space="preserve"> in patients with PNH who participated in previous clinical trials with </w:t>
      </w:r>
      <w:r>
        <w:rPr>
          <w:rFonts w:ascii="Times New Roman" w:hAnsi="Times New Roman"/>
          <w:color w:val="000000"/>
          <w:sz w:val="20"/>
        </w:rPr>
        <w:t>pegcetacoplan</w:t>
      </w:r>
      <w:r>
        <w:rPr>
          <w:rFonts w:ascii="Times New Roman" w:hAnsi="Times New Roman"/>
          <w:color w:val="111111"/>
          <w:sz w:val="20"/>
        </w:rPr>
        <w:t xml:space="preserve">. This study </w:t>
      </w:r>
      <w:r>
        <w:rPr>
          <w:rFonts w:ascii="Times New Roman" w:hAnsi="Times New Roman"/>
          <w:color w:val="000000"/>
          <w:sz w:val="20"/>
        </w:rPr>
        <w:t>is an open label, non-randomized, multi-center study to evaluate the long-term safety and efficacy of pegcetacoplan in the treatment of PNH with dosing for a longer period and at doses of 1,080 mg given either twice a week or every three days.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Safety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all trials of pegcetacoplan administered systemically by subcutaneous injection, we have monitored the safety of our targeting of C3 closely. Individuals who lack functional levels of C3 or C5 have been shown to be susceptible to infection by certain bacterial species, including </w:t>
      </w:r>
      <w:r>
        <w:rPr>
          <w:rFonts w:ascii="Times New Roman" w:hAnsi="Times New Roman"/>
          <w:i/>
          <w:color w:val="000000"/>
          <w:sz w:val="20"/>
        </w:rPr>
        <w:t>Neisseria meningitidis</w:t>
      </w:r>
      <w:r>
        <w:rPr>
          <w:rFonts w:ascii="Times New Roman" w:hAnsi="Times New Roman"/>
          <w:color w:val="000000"/>
          <w:sz w:val="20"/>
        </w:rPr>
        <w:t xml:space="preserve"> in C5-deficient individuals and </w:t>
      </w:r>
      <w:r>
        <w:rPr>
          <w:rFonts w:ascii="Times New Roman" w:hAnsi="Times New Roman"/>
          <w:i/>
          <w:color w:val="000000"/>
          <w:sz w:val="20"/>
        </w:rPr>
        <w:t>Neisseria meningitidis</w:t>
      </w:r>
      <w:r>
        <w:rPr>
          <w:rFonts w:ascii="Times New Roman" w:hAnsi="Times New Roman"/>
          <w:color w:val="000000"/>
          <w:sz w:val="20"/>
        </w:rPr>
        <w:t xml:space="preserve">, </w:t>
      </w:r>
      <w:r>
        <w:rPr>
          <w:rFonts w:ascii="Times New Roman" w:hAnsi="Times New Roman"/>
          <w:i/>
          <w:color w:val="000000"/>
          <w:sz w:val="20"/>
        </w:rPr>
        <w:t>Streptococcus pneumoniae</w:t>
      </w:r>
      <w:r>
        <w:rPr>
          <w:rFonts w:ascii="Times New Roman" w:hAnsi="Times New Roman"/>
          <w:color w:val="000000"/>
          <w:sz w:val="20"/>
        </w:rPr>
        <w:t xml:space="preserve"> and </w:t>
      </w:r>
      <w:r>
        <w:rPr>
          <w:rFonts w:ascii="Times New Roman" w:hAnsi="Times New Roman"/>
          <w:i/>
          <w:color w:val="000000"/>
          <w:sz w:val="20"/>
        </w:rPr>
        <w:t>Haemophilus influenzae</w:t>
      </w:r>
      <w:r>
        <w:rPr>
          <w:rFonts w:ascii="Times New Roman" w:hAnsi="Times New Roman"/>
          <w:color w:val="000000"/>
          <w:sz w:val="20"/>
        </w:rPr>
        <w:t xml:space="preserve"> in C3-deficient individuals. As a result, we vaccinate patients in these trials against these three pathogens, which we believe minimizes the risk of infection.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November 13, 2023, systemic pegcetacoplan had approximately 818 patient-years of exposure in the clinical trial setting, and, since commercial launch in May 2021, approximately 626 patient-years of exposure in the post-marketing setting. No unexpected safety concerns have been observed in any of these patients.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C3 Glomerulopathy (C3G) and Immune Complex Membranoproliferative Glomerulonephritis (IC-MPGN)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C3G and IC-MPGN are rare, debilitating kidney diseases that affect approximately 5,000 people in the United States. There are no approved therapies for the diseases, and symptoms include blood in the urine, dark foamy urine due to the presence of protein, swelling, and high blood pressure. Approximately 50% of people living with C3G and IC-MPGN ultimately suffer kidney failure within five to 10 years of diagnosis. Although IC-MPGN is considered a distinct disease from C3G, the underlying cause and progression of the two diseases are remarkably similar and include overactivation of the complement cascade, with excessive accumulation of C3 breakdown products in the kidney causing inflammation and damage to the organ. There are no medicines currently approved for C3G or IC-MPGN. Pegcetacoplan is designed to prevent C3 activation, and as such, we believe it has the potential to prevent further deposition of C3 activation products in the glomeruli, which may protect the kidney from further injury. In December 2018, systemic pegcetacoplan received orphan drug designation from the FDA for the treatment of C3G.</w:t>
      </w:r>
    </w:p>
    <w:p>
      <w:pPr>
        <w:pStyle w:val="TextBody"/>
        <w:bidi w:val="0"/>
        <w:spacing w:before="200" w:after="283"/>
        <w:jc w:val="left"/>
        <w:rPr>
          <w:rFonts w:ascii="Times New Roman" w:hAnsi="Times New Roman"/>
          <w:sz w:val="20"/>
        </w:rPr>
      </w:pPr>
      <w:r>
        <w:rPr>
          <w:rFonts w:ascii="Times New Roman" w:hAnsi="Times New Roman"/>
          <w:color w:val="111111"/>
          <w:sz w:val="20"/>
        </w:rPr>
        <w:t xml:space="preserve">In February 2018, we initiated DISCOVERY, a Phase 2 clinical trial of </w:t>
      </w:r>
      <w:r>
        <w:rPr>
          <w:rFonts w:ascii="Times New Roman" w:hAnsi="Times New Roman"/>
          <w:color w:val="000000"/>
          <w:sz w:val="20"/>
        </w:rPr>
        <w:t>systemic pegcetacoplan</w:t>
      </w:r>
      <w:r>
        <w:rPr>
          <w:rFonts w:ascii="Times New Roman" w:hAnsi="Times New Roman"/>
          <w:color w:val="111111"/>
          <w:sz w:val="20"/>
        </w:rPr>
        <w:t xml:space="preserve"> in biopsy-proven C3G and other glomerular diseases in which complement has been implicated, including IgA nephropathy, primary membranous nephropathy and lupus nephritis, </w:t>
      </w:r>
      <w:r>
        <w:rPr>
          <w:rFonts w:ascii="Times New Roman" w:hAnsi="Times New Roman"/>
          <w:color w:val="000000"/>
          <w:sz w:val="20"/>
        </w:rPr>
        <w:t>to evaluate the safety and biologic activity of pegcetacoplan in patients with these glomerular diseases. Initially each patient received once daily subcutaneous infusions of up to 360 mg of pegcetacoplan for one year, but patients could elect to receive twice weekly subcutaneous infusions of 1080 mg after week 24. The primary efficacy endpoint was the reduction in proteinuria, an important market of kidney damage, from baseline to week 48 as quantified by protein-to-creatinine ratio, or uPCR. Based on the scientific literature as well as the underlying pathophysiology of the disease, we believe that a substantial change in proteinuria is reasonably likely to predict a clinical benefit in all four glomerular diseases. Secondary endpoints included analysis of serum C3 and estimated glomerular filtration rate.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2020, we reported data from the DISCOVERY trial in five C3G patients treated with systemic pegcetacoplan for 48 weeks. In those patients, mean (SE) proteinuria decreased from 3.48 (0.82) mg/mg at baseline to 0.93 (0.27) mg/mg at week 48, a decrease of 73.3%, as measured by 24-hour uPCR. Importantly, this reduction in proteinuria was accompanied by a corresponding increase in mean serum albumin. Since albumin is the most abundant protein in serum, its level increases when urinary protein losses are reduced. Other biomarkers improved, including an observed increase in mean serum C3 and stabilization of renal function, as measured by mean serum creatinine. No serious or severe adverse events were reported, and pegcetacoplan was well tolerated overall.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2021, we initiated a Phase 2 trial in C3G and IC-MPGN with our NOBLE trial, a randomized, controlled trial in 12 patients with post-transplant disease recurrence that focused on the histopathology of the kidneys. Trial participants were randomized in a 3:1 ratio to receive pegcetacoplan or maintain standard of care for 12 weeks and then all patients in the study received pegcetacoplan from week 13 to week 52. The primary endpoint of the study was the proportion of patients with reduction in C3c staining on renal biopsy after 12 weeks of treatment with pegcetacoplan. Secondary endpoints included an evaluation of safety, the proportion of patients with reduction in C3c staining on renal biopsy after 52 weeks of treatment, and the proportion of patients achieving at least a 50% reduction in proteinuria.</w:t>
      </w:r>
    </w:p>
    <w:p>
      <w:pPr>
        <w:pStyle w:val="TextBody"/>
        <w:bidi w:val="0"/>
        <w:jc w:val="left"/>
        <w:rPr>
          <w:rFonts w:ascii="Times New Roman" w:hAnsi="Times New Roman"/>
          <w:color w:val="000000"/>
          <w:sz w:val="20"/>
        </w:rPr>
      </w:pPr>
      <w:r>
        <w:rPr>
          <w:rFonts w:ascii="Times New Roman" w:hAnsi="Times New Roman"/>
          <w:color w:val="000000"/>
          <w:sz w:val="20"/>
        </w:rPr>
        <w:t xml:space="preserve">In October 2023, we announced positive results from NOBLE showing the potential for a treatment effect in both IC-MPGN and C3G patients treated with pegcetacoplan. Specifically, at 12 weeks, 80% of patients showed a reduction in C3c staining by one or more orders of magnitude of intensity from baseline and 40% of patients showed zero staining intensity, indicating that C3c deposits were cleared. Patients also showed improvements across key clinical measures, including a mean reduction in proteinuria, and stabilized kidney function. There were no discontinuations due to treatment-emergent adverse events.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second quarter of 2022, we initiated the pivotal Phase 3 VALIANT trial. VALIANT is a randomized, placebo-controlled, double-blinded, multi-center Phase 3 trial being conducted in 124 patients who are 12 years of age and older with primary IC-MPGN or C3G. The primary endpoint of the trial is the change in proteinuria at week 26 versus baseline. Secondary endpoints included change in kidney function, reduction in C3 staining and patient reported measures. We plan to report top-line data from VALIANT in mid-2024.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Hematopoietic Stem Cell Transplantation Thrombotic Microangiopathy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Hematopoietic stem cell transplantation thrombotic microangiopathy, or HSCT-TMA, is rare blood disease that can be a fatal complication of a bone marrow transplant or HSCT. In HSCT-TMA, microscopic blood clots form in small blood vessels, leading to organ damage. The kidneys are commonly affected, although any organ may be involved. HSCT-TMA occurs in up to 40% of HSCT recipients; every year, there are approximately 9,000 allogeneic transplants in the United States. Excessive complement activation is a high-risk feature in patients with HSCT-TMA, and C3 is believed to play a critical role in TMA based on proinflammatory and procoagulant properties of C3a and C3b.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early 2022, Sobi dosed the first patient in the Phase 2 clinical trial of systemic pegcetacoplan in patients with HSCT-TMA. The Phase 2 trial is an open label, single arm, multicenter trial evaluating the pharmacokinetics, efficacy and safety and tolerability of pegcetacoplan in approximately 12 patients with HSCT-TMA.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Adeno-associated virus, or AAV, Vector Administration for Gene Therapies</w:t>
      </w:r>
    </w:p>
    <w:p>
      <w:pPr>
        <w:pStyle w:val="TextBody"/>
        <w:bidi w:val="0"/>
        <w:jc w:val="left"/>
        <w:rPr>
          <w:rFonts w:ascii="Times New Roman" w:hAnsi="Times New Roman"/>
          <w:color w:val="000000"/>
          <w:sz w:val="20"/>
        </w:rPr>
      </w:pPr>
      <w:r>
        <w:rPr>
          <w:rFonts w:ascii="Times New Roman" w:hAnsi="Times New Roman"/>
          <w:color w:val="000000"/>
          <w:sz w:val="20"/>
        </w:rPr>
        <w:t>We are also evaluating the administration of systemic pegcetacoplan as an approach to enabling AAV vector administration for gene therapies. We believe complement inhibition may yield important benefits when used in combination with AAV-delivered gene therapies, such as increasing the safety of AAV-delivered gene therapies, decreasing the required AAV dose needed to achieve a therapeutic effect, and allowing for dosing in patients who have pre-existing antibodies. In collaboration with commercial and academic researchers, we are advancing pre-clinical studies to assess the impact of complement inhibition on AAV-delivered gene therapies.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2021, we entered into an exclusive five-year research collaboration with Beam focused on the use of Beam’s proprietary base editing technology to discover new treatments for complement-driven diseases. Under the collaboration agreement, we are collaborating on up to six research programs focused on C3 and other complement targets in the eye, liver and brain.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began a Phase 1 dose escalation clinical trial for APL-3007, a siRNA therapy, in healthy volunteers in June 2023 and expect topline data from this study in 2024. We are also advancing an oral complement inhibitor which is in preclinical development.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Collaboration and License Agreement with Sobi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27, 2020, we and our subsidiaries, Apellis International GmbH (f/k/a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Under the Sobi collaboration agreement, we granted Sobi an exclusive (subject to certain retained rights of the Company), sublicensable license of certain patent rights and know-how to develop and commercialize Licensed Products in all countries outside of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retain the right to commercialize Licensed Products in the United States, and, subject to specified limitations, to develop Licensed Products worldwide for commercialization in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Sobi collaboration agreement, we and Sobi originally agreed to collaborate to develop Licensed Products for the treatment of PNH, CAD, HSCT-TMA, C3G, and IC-MPGN, and any other indications subsequently agreed upon by the parties, for commercialization by or on behalf of us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 In January 2024, we and Sobi agreed to discontinue the CAD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development plan sets forth the development activities to be conducted by each of us and Sobi, with us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We and Sobi have formed several governance committees to oversee the development and manufacture, and to review and discuss the commercialization, of Licensed Products.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agreed to supply Licensed Products to Sobi for development and for commercialization outside of the United States in accordance with a supply agreement to be negotiated by the parties.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Sobi paid us an upfront payment of $250.0 million in November 2020 and has agreed to pay up to an aggregate of $915.0 million upon the achievement of specified one-time regulatory and commercial milestone events, of which we received $50.0 million in April 2022 for the achievement of a regulatory development milestone in Europe and $5.0 million in October 2023 for the achievement of a regulatory development milestone in Japan. Sobi also agreed to reimburse us for up to $80.0 million in development costs, of which we received $25.0 million in January 2021, $20.0 million in January 2022 and $20.0 million in January 2023. In January 2024 we waived the remaining reimbursement payment of $15.0 million in connection with the decision to discontinue the CAD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received $10.0 million in royalties from Sobi during the year ended December 31, 2023. Under the Sobi collaboration agreement, we remain responsible for our license fee obligations (including royalty obligations) to the Trustees of the University of Pennsylvania (“Penn”), as a licensor of Apellis and for its payment obligations to SFJ.</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earlier terminated, the agreement will expire upon the expiration of the last royalty term for the last Licensed Product outside of the United States. The agreement may be terminated in its entirety by Sobi upon 90 days’ prior written notice at any time. Either party may, subject to specified cure periods, terminate the agreement in its entirety in the event of the other party’s uncured material breach. In addition, we may, subject to specified cure periods, terminate the agreement in any of China, Japan, Brazil, or Canada if Sobi materially breaches its obligation to use commercially reasonable efforts to develop, obtain regulatory approval for, and commercialize a Licensed Product for PNH and ALS in such country. Either party may also terminate the agreement under specified circumstances relating to the other party’s insolvency. We may terminate the agreement in the event Sobi or its specified affiliates or sublicensees challenges the validity, scope or enforceability of the licensed patent rights under specified circumstances.</w:t>
      </w:r>
    </w:p>
    <w:p>
      <w:pPr>
        <w:pStyle w:val="TextBody"/>
        <w:bidi w:val="0"/>
        <w:spacing w:before="200" w:after="283"/>
        <w:jc w:val="left"/>
        <w:rPr>
          <w:rFonts w:ascii="Times New Roman" w:hAnsi="Times New Roman"/>
          <w:sz w:val="20"/>
        </w:rPr>
      </w:pPr>
      <w:r>
        <w:rPr>
          <w:rFonts w:ascii="Times New Roman" w:hAnsi="Times New Roman"/>
          <w:b/>
          <w:color w:val="000000"/>
          <w:sz w:val="20"/>
        </w:rPr>
        <w:t>Research Collaboration with Beam</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2021, we entered into an exclusive five-year research collaboration (the “Beam collaboration agreement”) with Beam focused on the use of Beam’s proprietary base editing technology to discover new treatments for complement-driven diseases. We and Beam agreed to collaborate on up to six research programs focused on C3 and other complement targets in the eye, liver and brain. Under the terms of the Beam collaboration agreement, we are 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Beam collaboration agreement, Beam is prohibited from developing on its own or with a third party any base editing therapies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associated with the items on the Target List but does not prevent Beam from licensing its intellectual property to a third-party for another purpose outside of the Target List. We will have exclusive rights to license each of the six programs and will assume responsibility for subsequent development and commercialization. Beam may elect to enter a 50-50 co-development and U.S. co-commercialization agreement with us with respect to any one program licensed under the Beam collaboration agreement and upon such election any license agreement in place at that time, would be terminated.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part of the Beam collaboration agreement, we paid $50.0 million up-front, non-refundable payment to Beam in July 2021. In June 2022, we paid $25.0 million, which was recorded as a cost of research collaboration expense for the year ended December 31, 2021, as it was considered probable of achievement. We and Beam are each responsible for their own costs during the research collaboration. If and after the opt-in license rights are exercised for each of the up to six programs, Beam will be eligible to receive development, regulatory and sales milestones from us, as well as royalty payments on sales. The Beam collaboration agreement has an initial term of five years and may be extended up to two years on a per year program-by-program basis.</w:t>
      </w:r>
    </w:p>
    <w:p>
      <w:pPr>
        <w:pStyle w:val="TextBody"/>
        <w:bidi w:val="0"/>
        <w:spacing w:before="20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2023, we own a total of 24 U.S. patents, 25 pending U.S. patent applications, including original filings, continuations, and divisional applications, as well as numerous foreign counterparts of many of these patents and patent applications.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Pegcetacoplan is an analog of the cyclic peptide compstatin, based on technologies that we have developed internally or have exclusively licensed from Penn.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Our patents and patent applications include families of United States and foreign patent and patent applications relating, for example, to the composition of matter of certain compstatin analogs with a prolonged </w:t>
      </w:r>
      <w:r>
        <w:rPr>
          <w:rFonts w:ascii="Times New Roman" w:hAnsi="Times New Roman"/>
          <w:i/>
          <w:color w:val="000000"/>
          <w:sz w:val="20"/>
        </w:rPr>
        <w:t xml:space="preserve">in vivo </w:t>
      </w:r>
      <w:r>
        <w:rPr>
          <w:rFonts w:ascii="Times New Roman" w:hAnsi="Times New Roman"/>
          <w:color w:val="000000"/>
          <w:sz w:val="20"/>
        </w:rPr>
        <w:t>half-life, including pegcetacoplan, and/or to methods of treatment and dosing regimens for treating particular complement-dependent diseases. Patents in these families would expire in 2032 or 2033. We have submitted applications for patent term extension for certain of these patents. Our patent applications also include families relating in part to particular doses and dosing regimens for intravitreally or subcutaneously administered pegcetacoplan that are granted or pending in the United States and a number of other jurisdictions. Patents in these families would expire between 2036 and 2038. Six of our U.S. patents are listed for EMPAVELI in the FDA’s Orange Book. Our filings also include certain U.S. and foreign patents and patent applications relating to methods of treating eye disorders associated with complement activation, which we acquired in the acquisition of the assets of Potentia Pharmaceuticals, Inc., or Potentia. These patent rights include issued U.S. patents with claims to methods of treating AMD by administration of compstatin analogs and a granted European patent with claims to a class of compstatin analogs for use in treatment of macular degeneration. These patents have terms that extend into 2026. Seven of our U.S. patents are listed for SYFOVRE in the FDA’s Orange Book. We also own a patent family relating in part to use of C3 inhibitors, including pegcetacoplan, to facilitate gene therapy with AAV vectors. Patents in this family would have terms extending into 2040. In addition, we own patent families relating to use of pegcetacoplan for the treatment of PNH or for the treatment of GA that have terms extending into 2041 through 2043.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the technology that we developed internally relating to compstatin analogs, we hold exclusive licenses from Penn, including a license agreement with Penn that was assigned to us in connection with our acquisition of the Potentia’s assets in September 2015. The intellectual property in-licensed under our two license agreements with Penn includes four U.S. patents and numerous foreign counterparts, with claims granted in Europe, Japan and elsewhere. These licensed patent rights include issued patents with claims that recite a class of compounds generically covering pegcetacoplan, and that specifically recite the active component. These patents have terms that extend to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own or have exclusive rights to a number of patent applications relating to additional modalities and molecules for inhibiting complement, including nucleic acid, small molecule, and protein-based approaches. The filings cover, for example, the composition of matter of certain of our product candidates and methods of use for treating particular complement-mediated disorders. Patents issuing based on these applications would have terms extending into 2041 through 2043.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 non-exclusive license to intellectual property covering aspects of base editing technology, including CRISPR proteins and base editors, for use in the context of our collaboration with Beam, and have an exclusive license from Beam to this intellectual property to the extent it specifically covers therapeutic candidates developed under the collaboration.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Similar provisions are available in the European Union and certain other foreign jurisdictions to extend the term of a patent that covers an approved drug. In the future, if and when our product candidates, including pegcetacoplan, receive approval by the FDA or foreign regulatory authorities, we expect to apply for patent term extensions on issued patents covering those products, depending upon the length of the clinical trials for each drug and other factors. Expiration dates referred to above are without regard to potential patent term adjustment or extension or other market exclusivity that may be available to us.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granted worldwide rights to use and license the intellectual property that we hold with respect to pegcetacoplan to our wholly owned subsidiaries, APL DEL Holdings, LLC and Apellis International GmbH (f/k/a Apellis Switzerland GmbH). Certain of our wholly owned subsidiaries hold rights to use our intellectual property to manage our clinical trials in certain jurisdictions or territories and exclusive rights to distribute our product with respect to specific indications within certain jurisdictions or territories. We granted Sobi an exclusive (subject to certain retained rights), sublicensable license of certain patent rights and know-how to develop and commercialize pegcetacoplan for non-ophthalmological indications in all countries outside of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License Agreement with The Trustees of the University of Pennsylvania (Non-ophthalmic Fields of Use)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March 2008, Apellis AG entered into an agreement with Penn for an exclusive worldwide license, under specified patent rights controlled by Penn, to develop and commercialize products covered by the licensed patent rights for all fields except the treatment of ophthalmic indications. This license was assigned to us in 2010 in connection with our acquisition of Apellis AG, and we have the right to grant sublicenses under this license.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patent rights licensed to us by Penn include patents with claims that recite a class of compounds generically covering pegcetacoplan, and specifically recite the active component. Three of these patents are listed for EMPAVELI in the FDA’s Orange Book.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license agreement, we are obligated to make a $0.1 million annual license maintenance payment to Penn until the first commercial sale of a licensed product, some of which may become creditable against milestone payments under specified circumstances. We may also become obligated to make payments to Penn aggregating up to $1.7 million, based on achieving specified development and regulatory approval milestones and up to $2.5 million based on achieving specified annual sales milestones with respect to each of the first two licensed products,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royalty obligation with respect to each licensed product in a country extends until the later of the expiration of the last-to-expire patent licensed from Penn covering the licensed product in the country or the expiration of a specified number of years after the first commercial sale of the licensed product in the country. As of December 31, 2023, we have incurred an aggregate royalty expense of $7.9 million on sales of EMPAVELI and Aspaveli.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the right to grant sublicenses under the license.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January 2021, we paid $25.0 million for a sublicense fee owed to Penn related to the Sobi collaboration agreement and another licensing transaction. In August 2021, we paid $1.0 million to Penn upon the achievement of a development milestone, net of a credit for the annual license maintenance payment. In June 2022, we paid an additional $5.0 million to Penn upon the achievement of a development milestone. In January 2023, we paid $1.0 million to Penn upon the achievement of a sales milestone for EMPAVELI in 2022. As December 31, 2023, we recorded in accrued expenses $0.5 million for a sublicense fee owed to Penn related to Sobi obtaining regulatory approval in Japan. Additionally, as of December 31, 2023, we recorded $1.5 million in accrued expenses as a result of the achievement of a sales milestone for EMPAVELI and Aspaveli.</w:t>
      </w:r>
    </w:p>
    <w:p>
      <w:pPr>
        <w:pStyle w:val="TextBody"/>
        <w:bidi w:val="0"/>
        <w:spacing w:before="240" w:after="283"/>
        <w:jc w:val="left"/>
        <w:rPr>
          <w:rFonts w:ascii="Times New Roman" w:hAnsi="Times New Roman"/>
          <w:sz w:val="20"/>
        </w:rPr>
      </w:pPr>
      <w:r>
        <w:rPr>
          <w:rFonts w:ascii="Times New Roman" w:hAnsi="Times New Roman"/>
          <w:b/>
          <w:i/>
          <w:color w:val="000000"/>
          <w:sz w:val="20"/>
        </w:rPr>
        <w:t>Amended and Restated Patent License Agreement with The Trustees of the University of Pennsylvania (Ophthalmic Field of Use)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the same time that it entered into the agreement with Apellis AG, Penn licensed rights to the same portfolio of cases to Potentia, to develop and commercialize products covered by the licensed patent rights for the treatment of ophthalmic indications. In September 2015, Potentia assigned the license agreement between Potentia and Penn to us in connection with our acquisition of the assets of Potentia pursuant to an asset purchase agreement with Potentia. Three of the licensed patents are listed for SYFOVRE in the FDA’s orange book.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Upon Potentia’s assignment of the license to us, we became the licensee and are obligated to make a $0.1 million annual license maintenance payment to Penn until the first commercial sale of a licensed product. We also became obligated to make payments to Penn aggregating up to $3.2 million based on achieving specified development and regulatory approval milestones, including $2.3 million upon approval of an NDA, and up to $5.0 million based on achieving specified annual sales milestones with respect to each licensed product,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2023, we paid $2.3 million for the achievement of a regulatory milestone as a result of the FDA approval of SYFOVRE in February 2023. In the year ended December 31, 2023, we incurred $5.0 million as a result of the achievement of sales milestones for SYFOVRE of which we paid $2.0 million in October 2023 and the remaining $3.0 million was accrued as of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2023, we have incurred an aggregate royalty expense of $8.9 million as a result of sales of SYFOVRE.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royalty obligation with respect to each licensed product in a country will extend until the later of the expiration of the last-to-expire patent licensed from Penn covering the licensed product in the country or the tenth anniversary of the first commercial sale of the licensed product in the country.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the right to grant sublicenses under the license.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are a number of currently marketed products and product candidates in preclinical research and clinical development by third parties to treat the various diseases that we are targeting. In general, these products and product candidates can be categorized based on their proposed mechanisms of action. The mechanisms of action for these product candidates include inflammation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suppression by agents such as complement inhibitors and corticosteroids, as well as immune modulators, visual cycle modulators, anti-amyloid agents, antioxidants, neuroprotectants, cell and gene therapies and vascular and interstitial tissue remodeling agents.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approved product competes, and if our product candidates are approved for the indications for which we are currently undertaking or planning clinical trials, they will compete, with the products and product candidates discussed below</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GA. </w:t>
      </w:r>
      <w:r>
        <w:rPr>
          <w:rFonts w:ascii="Times New Roman" w:hAnsi="Times New Roman"/>
          <w:color w:val="000000"/>
          <w:sz w:val="20"/>
        </w:rPr>
        <w:t xml:space="preserve">In August 2023, Astellas Pharma Inc. received FDA approval for avacincaptad pegol (marketed as Izervay), a C5 inhibitor, for the treatment of GA and is seeking approval from the EMA. We are aware of other companies that are actively developing product candidates for the treatment of GA, including the following product candidates that are in clinical development: ANX007, a C1q inhibitor being developed by Annexon Biosciences, Inc. and preparing to enter into Phase 3 clinical trials; pozelimab, an anti-C5 antibody developed by Regeneron Pharmaceuticals Inc. in combination with cemdisiran, an RNAi therapeutic targeting C5 developed by Alnylam Pharmaceuticals, Inc., is preparing to enter into Phase 3 clinical trials; IONIS-FB-LRX (RG6299), a complement factor B inhibitor being developed by Ionis (in collaboration with Roche/Genentech) in Phase 2 clinical trials; danicopan (ALXN2040), an orally administered factor D inhibitor being developed by AstraZeneca in Phase 2 clinical trials; JNJ1887 (formerly known as HMR59), an intravitreal gene therapy targeting CD59 being developed by The Janssen Pharmaceutical Companies of Johnson &amp; Johnson (after acquisition from Hemera Biosciences) in Phase 2 clinical trials; and other product candidates that do not target the complement system that are either in a single Phase 3 or in Phase 2 clinical trials, including but not limited to therapies being developed by Alkeus Pharmaceuticals, Inc., Stealth BioTherapeutics, Inc., Belite Bio, Inc., Lineage Cell Therapeutics, Inc. (in collaboration with Roche/Genentech), Aviceda Therapeutics, Inc., and Ocugen Inc. Novartis has initiated a Phase 2 trial of orally administered iptacopan (marketed as Fabhalta),, a factor B inhibitor, in patients with early or intermediate AMD.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PNH. </w:t>
      </w:r>
      <w:r>
        <w:rPr>
          <w:rFonts w:ascii="Times New Roman" w:hAnsi="Times New Roman"/>
          <w:color w:val="000000"/>
          <w:sz w:val="20"/>
        </w:rPr>
        <w:t>The principal competitors for EMPAVELI, and possibly other indications in our hematology and nephrology programs are eculizumab (marketed as Soliris) and ravulizumab (marketed as Ultomiris), which are C5 inhibitors marketed by AstraZeneca. In December 2023, the FDA approved iptacopan, which is marketed by Novartis AG, or Novartis, for the treatment of adults with PNH. Iptacopan is an oral, Factor B inhibitor of the alternative complement pathway.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aware of several other companies that are actively developing product candidates using complement inhibition for the treatment of PNH in late-stage clinical development, including: crovalimab, an anti-C5 antibody developed by Roche and Chugai Pharmaceutical Co., currently under regulatory review in the United States; pozelimab + cemdisiran is currently in Phase 3 clinical trials; and danicopan, a Factor D inhibitor being developed by AstraZeneca as an add-on treatment to eculizumab and ravulizumab, in Phase 3 clinical trials, as well as other products in early stages of development.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Amgen Inc. is developing ABP959, a biosimilar for eculizumab that is in Phase 3 development. In August 2022, Amgen announced that a Phase 3 trial evaluating ABP959 met its primary endpoints. Other non-U.S. entities are developing biosimilars for eculizumab in local markets. The approval of a biosimilar or a generic to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C3G. </w:t>
      </w:r>
      <w:r>
        <w:rPr>
          <w:rFonts w:ascii="Times New Roman" w:hAnsi="Times New Roman"/>
          <w:color w:val="000000"/>
          <w:sz w:val="20"/>
        </w:rPr>
        <w:t>There are currently no approved drugs for C3 glomerulopathy. There are treatments in clinical development, including iptacopan being developed by Novartis, currently in Phase 3 clinical trials; OMS906, a MASP-3 inhibitor monoclonal antibody being developed by Omeros Corp., in a Phase 2 trial;; KP104, an anti C5-Factor H bifunctional protein being developed by Kira Pharmaceuticals, currently in a Phase 2 renal basket trial; and ARO-C3, an RNAi to reduce C3 production developed by Arrowhead Pharmaceuticals, currently in a Phase 1/2 renal basket trial.</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IC-MPGN. </w:t>
      </w:r>
      <w:r>
        <w:rPr>
          <w:rFonts w:ascii="Times New Roman" w:hAnsi="Times New Roman"/>
          <w:color w:val="000000"/>
          <w:sz w:val="20"/>
        </w:rPr>
        <w:t>There are currently no approved drugs for IC-MPGN. There are potential treatments in clinical development, including iptacopan being developed by Novartis, currently in Phase 3 clinical trials, and OMS906, a MASP-3 inhibitor monoclonal antibody being developed by Omeros Corp., in a Phase 2 clinical trial.</w:t>
      </w:r>
    </w:p>
    <w:p>
      <w:pPr>
        <w:pStyle w:val="TextBody"/>
        <w:bidi w:val="0"/>
        <w:spacing w:before="200" w:after="283"/>
        <w:jc w:val="left"/>
        <w:rPr>
          <w:rFonts w:ascii="Times New Roman" w:hAnsi="Times New Roman"/>
          <w:sz w:val="20"/>
        </w:rPr>
      </w:pPr>
      <w:r>
        <w:rPr>
          <w:rFonts w:ascii="Times New Roman" w:hAnsi="Times New Roman"/>
          <w:b/>
          <w:i/>
          <w:color w:val="000000"/>
          <w:sz w:val="20"/>
        </w:rPr>
        <w:t>HSCT-TMA.</w:t>
      </w:r>
      <w:r>
        <w:rPr>
          <w:rFonts w:ascii="Times New Roman" w:hAnsi="Times New Roman"/>
          <w:color w:val="000000"/>
          <w:sz w:val="20"/>
        </w:rPr>
        <w:t xml:space="preserve"> Currently there are three treatments in late-stage clinical development: Ravulizumab, developed by AstraZeneca, nomacopan being developed by Akari, and narsoplimab, being developed by Omeros, are all in Phase 3 trials.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retain U.S. commercialization rights for systemic pegcetacoplan and worldwide commercialization rights for intravitreal pegcetacoplan. We are conducting commercialization efforts for EMPAVELI and SYFOVRE in the United States and plan to conduct commercial development for systemic pegcetacoplan in the United States if it is approved in other indications. Sobi has global co-development and exclusive ex-U.S. commercialization rights for systemic pegcetacoplan. We plan to conduct commercial development for intravitreal pegcetacoplan worldwide for GA. We have developed focused capabilities to commercialize development programs for certain indications where we believe that the medical specialists for the indications are sufficiently concentrated to allow us to effectively promote the product with a targeted sales team.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EMPAVELI and SYFOVRE we have defined our marketing, disease education, patient support and distribution strategies, identified primary and secondary payers representing a significant percentage of patients with PNH and GA, have built our field market access team and our sales team. Sobi is responsible for commercialization of systemic pegcetacoplan outside of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programs involving compounds other than pegcetacoplan, we plan to develop our own capabilities to commercialize our products worldwide.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do not currently own or operate manufacturing facilities for the production of clinical or commercial quantities of our product candidates. Although we rely on third-party contract manufacturers to produce our products, we have recruited personnel with experience to manage the third-party contract manufacturers producing our products, product candidates and other product candidates that we may develop in the future.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process for manufacturing our products and product candidates consists of chemical synthesis, purification using liquid chromatography, and freeze drying into solid form. The drug substance is then dissolved in solution and aliquoted into small vials for individual dosing. Each of these steps involves a relatively routine chemical engineering process. We believe the costs associated with manufacturing drug product for our products and product candidates is comparable to the current manufacturing costs for other similarly sized peptide-based components.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engaged a limited number of third-party manufacturers to provide all of our raw materials, drug substances and finished products for use in clinical trials and commercial sale. We have entered into a commercial supply agreement with Bachem Americas, Inc., or Bachem, agreeing to purchase a significant portion of our requirements for the pegcetacoplan drug substance, and a commercial supply agreement with NOF Corporation, or NOF, to purchase activated polyethylene glycol derivative, or PEG, which is a component of pegcetacoplan. We also have a separate supply agreement for the manufacture of the drug product for each of EMPAVELI and SYFOVRE.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raw materials, drug substances and finished products have been produced under master service contracts and specific work orders from these manufacturers pursuant to agreements that include specific supply timelines and volume and quality expectations. We choose the third-party manufacturers of the raw materials and drug substances based on the volume required and the regulatory requirements at the relevant stage of development. All lots of drug substances and finished products used in clinical trials and for commercial use are manufactured under current good manufacturing practices. Separate third-party manufacturers are for fill and finish services and for labeling and shipment of the final drug products to the clinical trial sites and for commercial use.</w:t>
      </w:r>
    </w:p>
    <w:p>
      <w:pPr>
        <w:pStyle w:val="TextBody"/>
        <w:bidi w:val="0"/>
        <w:spacing w:before="200" w:after="283"/>
        <w:jc w:val="left"/>
        <w:rPr>
          <w:rFonts w:ascii="Times New Roman" w:hAnsi="Times New Roman"/>
          <w:sz w:val="20"/>
        </w:rPr>
      </w:pPr>
      <w:r>
        <w:rPr>
          <w:rFonts w:ascii="Times New Roman" w:hAnsi="Times New Roman"/>
          <w:color w:val="000000"/>
          <w:sz w:val="20"/>
        </w:rPr>
        <w:t>We believe</w:t>
      </w:r>
      <w:r>
        <w:rPr>
          <w:rFonts w:ascii="Times New Roman" w:hAnsi="Times New Roman"/>
          <w:color w:val="111111"/>
          <w:sz w:val="20"/>
        </w:rPr>
        <w:t xml:space="preserve"> that our manufacturing arrangements are sufficient to supply pegcetacoplan at the scale and with the quality required for our ongoing and planned clinical trials, our commercialization efforts and our collaboration with Sobi. </w:t>
      </w:r>
      <w:r>
        <w:rPr>
          <w:rFonts w:ascii="Times New Roman" w:hAnsi="Times New Roman"/>
          <w:color w:val="000000"/>
          <w:sz w:val="20"/>
        </w:rPr>
        <w:t>We continuously review our supply chain risk, including with respect to our manufacturing footprint, and update and implement risk mitigation plans.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Commercial Supply Agreement with Bachem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December 30, 2020, we entered into a commercial supply agreement, or the Bachem Agreement, with Bachem to supply the drug substance for the finished dosage form of systemic pegcetacoplan and intravitreal pegcetacoplan.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Bachem Agreement, we agreed to purchase from Bachem a significant portion of our requirements for the drug substance during the term of the agreement, and to purchase all of our requirements for drug substance for commercial sale, subject to certain exceptions, for a period after the effective date of the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earlier terminated, the initial term of the Bachem Agreement continues until December 31, 2025, or the Initial Term. Thereafter, the Bachem Agreement will automatically renew for an additional two-year term. At least 24 months prior to the end of the Initial Term, Bachem will notify us in writing if it is willing to continue to manufacture and supply the drug substance following the end of the Initial Term. For a period of 12 months after receipt of such notice, we have the right to negotiate pricing terms that would apply during the renewal term, which upon agreement will be finalized in an amendment to the Bachem Agreement. We may terminate the Bachem Agreement in the event any required license, permit or certificate of Bachem related to the manufacturing facility or the drug substance is not approved or issued (or is withdrawn) by the relevant governmental authority. Additionally, each party may terminate the Bachem Agreement upon an uncured material breach of the Bachem Agreement by the other party or upon the other party’s insolvency or bankruptcy.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Bachem Agreement also includes customary provisions relating to, among others, delivery, inspection procedures, warranties, quality, storage, handling and transport, intellectual property, confidentiality and indemnification.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Amended and Restated Commercial Supply Agreement with NOF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10, 2021, we entered into an amended and restated commercial supply agreement, or the NOF Agreement, with NOF to purchase PEG, which is a component of each of systemic pegcetacoplan and intravitreal pegcetacoplan.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NOF Agreement, NOF’s affiliate, NOF America Corporation, supplies PEG to us on a non-exclusive basis. NOF agreed to manufacture and deliver PEG to us in accordance with purchase orders issued by us pursuant to the NOF Agreement. We may purchase PEG or any polyethylene glycol derivative from other third-party suppliers. Notwithstanding the foregoing, we agreed to purchase at least a minimum purchase obligation, which will be based on our 24-month rolling forecasts as set forth in the NOF Agreement. In the event we fail to meet the minimum purchase obligation, we will pay NOF the amount equal to a specified percentage of the remaining quantity of the minimum purchase obligation for the relevant time period, in addition to any payments due for all outstanding firm orders. We may eliminate the minimum purchase obligation on or before October 1 of the preceding calendar year by paying a specified percentage of the then-applicable supply price of the remaining minimum purchase obligation for the remainder of the term.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earlier terminated, the term of the NOF Agreement continues through December 31, 2025. Either party may terminate the NOF Agreement upon an uncured material breach by the other party, upon the other party’s insolvency or bankruptcy or for convenience upon twenty-four (24) months prior written notice. We may terminate the NOF Agreement for safety, efficacy or regulatory issues. If the NOF Agreement is terminated by NOF for convenience or by us for NOF’s breach, we have no minimum purchase obligations and any agreement to buy out such minimum purchase obligations shall be of no force or effect.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NOF Agreement also includes customary provisions relating to, among others, delivery, inspection procedures, warranties, quality, storage, handling and transport, intellectual property, confidentiality and indemnification.</w:t>
      </w:r>
    </w:p>
    <w:p>
      <w:pPr>
        <w:pStyle w:val="TextBody"/>
        <w:bidi w:val="0"/>
        <w:spacing w:before="200" w:after="283"/>
        <w:jc w:val="left"/>
        <w:rPr>
          <w:rFonts w:ascii="Times New Roman" w:hAnsi="Times New Roman"/>
          <w:sz w:val="20"/>
        </w:rPr>
      </w:pPr>
      <w:r>
        <w:rPr>
          <w:rFonts w:ascii="Times New Roman" w:hAnsi="Times New Roman"/>
          <w:b/>
          <w:color w:val="000000"/>
          <w:sz w:val="20"/>
        </w:rPr>
        <w:t>Government Regulation and Product Approvals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regulatory requirements applicable to drug product development, approval and marketing are subject to change, and regulations and administrative guidance often are revised or reinterpreted by the agencies in ways that may have a significant impact on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Review and Approval of Drugs in the United States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United States, the FDA regulates drugs under the Federal Food, Drug, and Cosmetic Act, or FDCA, and implementing regulations. The failure to comply with applicable requirements under the FDCA and other applicable laws at any time during the product development process, approval process or after approval may subject a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FDA must approve our product candidates for therapeutic indications before they may be marketed in the United States. A company, institution or organization which takes responsibility for the initiation and management of a clinical development program for such products is referred to as a sponsor. A sponsor seeking approval to market and distribute a new drug or biologic product in the United States must typically secure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preclinical laboratory tests, animal studies and formulation studies in compliance with the FDA’s good laboratory practice, or GLP,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a clinical protocol and submission to the FDA of an investigational new drug application, or IND, which must take effect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independent institutional review board representing each clinical site before each clinical trial may be initiated;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good clinical practices, or GCP, to establish the safety and efficacy of the proposed drug product for each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preparation and submission to the FDA of an NDA;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the product by an FDA advisory committee, where appropriate or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FDA audits of clinical trial sites to assure compliance with GCPs and the integrity of the clinical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 of user fees and securing FDA approval of the NDA;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any post-approval requirements, including Risk Evaluation and Mitigation Strategies, or REMS, and post-approval studies required by the FDA. </w:t>
      </w:r>
    </w:p>
    <w:p>
      <w:pPr>
        <w:pStyle w:val="TextBody"/>
        <w:bidi w:val="0"/>
        <w:spacing w:before="240" w:after="283"/>
        <w:jc w:val="left"/>
        <w:rPr>
          <w:rFonts w:ascii="Times New Roman" w:hAnsi="Times New Roman"/>
          <w:sz w:val="20"/>
        </w:rPr>
      </w:pPr>
      <w:r>
        <w:rPr>
          <w:rFonts w:ascii="Times New Roman" w:hAnsi="Times New Roman"/>
          <w:i/>
          <w:color w:val="000000"/>
          <w:sz w:val="20"/>
        </w:rPr>
        <w:t>Preclinical Studies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Before a sponsor begins testing a product candidate with potential therapeutic value in humans, the product candidate enters the preclinical testing stage. Preclinical studies include laboratory evaluation of the purity and stability of the manufactured drug substance or active pharmaceutical ingredient and the formulated drug or drug product, as well as </w:t>
      </w:r>
      <w:r>
        <w:rPr>
          <w:rFonts w:ascii="Times New Roman" w:hAnsi="Times New Roman"/>
          <w:i/>
          <w:color w:val="000000"/>
          <w:sz w:val="20"/>
        </w:rPr>
        <w:t>in vitro</w:t>
      </w:r>
      <w:r>
        <w:rPr>
          <w:rFonts w:ascii="Times New Roman" w:hAnsi="Times New Roman"/>
          <w:color w:val="000000"/>
          <w:sz w:val="20"/>
        </w:rPr>
        <w:t xml:space="preserve"> and animal studies to assess the safety and activity of the drug for initial testing in humans and to establish a rationale for therapeutic use. These studies are generally referred to as IND-enabling studies. The conduct of the preclinical tests and formulation of the compounds for testing must comply with federal regulations and requirements, including GLP regulations and standards and the U.S. Department of Agriculture’s Animal Welfare Act, if applicable.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AEs and carcinogenicity, may continue after the IND is submitted.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w:t>
      </w:r>
    </w:p>
    <w:p>
      <w:pPr>
        <w:pStyle w:val="TextBody"/>
        <w:bidi w:val="0"/>
        <w:spacing w:before="240" w:after="283"/>
        <w:jc w:val="left"/>
        <w:rPr>
          <w:rFonts w:ascii="Times New Roman" w:hAnsi="Times New Roman"/>
          <w:sz w:val="20"/>
        </w:rPr>
      </w:pPr>
      <w:r>
        <w:rPr>
          <w:rFonts w:ascii="Times New Roman" w:hAnsi="Times New Roman"/>
          <w:i/>
          <w:color w:val="000000"/>
          <w:sz w:val="20"/>
        </w:rPr>
        <w:t>The IND and IRB Processes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assure the safety and rights of patients and to help assure that the quality of the investigation will be adequate to permit an evaluation of the proposed drug’s effectiveness and safety.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deficiencies previously cited or otherwise satisfying the FDA that the investigation can proceed or recommence. Occasionally, clinical holds are imposed due to manufacturing issues that may present safety issues for the clinical study subjects.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the IND requirements, an institutional review board, or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some trials are overseen by an independent group of qualified experts organized by the trial sponsor, known as a data safety monitoring board, or DSMB,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Clinical Studies Outside the United States in Support of FDA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Sponsors frequently conduct clinical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Reporting Clinical Trial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Public Health Service Act, or the PHSA, sponsors of clinical trials of certain FDA-regulated products, including prescription drugs and biologics, are required to register and disclose certain clinical trial information on a public registry (clinicaltrials.gov) maintained by the U.S. National Institutes of Health, or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The NIH’s Final Rule on registration and reporting requirements for clinical trials became effective in 2017, and both the NIH and the FDA have recently signaled the government’s willingness to begin enforcing those requirements against non-compliant clinical trial sponsors.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PHSA grants the Secretary of Health and Human Services, or HHS, the authority to issue a notice of noncompliance to a responsible party for failure to submit clinical trial information as required. The responsible party, however, is allowed 30 days to correct the noncompliance and submit the required information. The failure to submit clinical trial information to clinicaltrials.gov, as required, is also a prohibited act under the FDCA with violations subject to potential civil monetary penalties of up to $10,000 for each day the violation continues. In addition to civil monetary penalties, violations may also result in other regulatory action, such as injunction and/or criminal prosecution or disqualification from federal grants. Although the FDA has historically not enforced these reporting requirements due to the HHS’s, long delay in issuing final implementing regulations, the FDA has issued pre-notices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voluntary corrective action and several notices of non-compliance during the past two years. These notices of non-compliance did not result in civil monetary penalties.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Expanded Access to an Investigational Drug for Treatment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obligation for a sponsor to make its investigational products available for expanded access; however, as required by amendments to the FDCA included in the 21st Century Cures Act, or the Cures Act, passed in 2016, if a sponsor has a policy regarding how it responds to expanded access requests with respect to product candidates in development to treat serious diseases or conditions, it must make that policy publicly available. Sponsors are required to make such policies publicly available upon the earlier of initiation of a Phase 2 or Phase 3 study; or 15 days after the investigational drug or biologic receives designation from the FDA as a breakthrough therapy, fast track product, or regenerative medicine advanced therapy.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pStyle w:val="TextBody"/>
        <w:bidi w:val="0"/>
        <w:spacing w:before="240" w:after="283"/>
        <w:jc w:val="left"/>
        <w:rPr>
          <w:rFonts w:ascii="Times New Roman" w:hAnsi="Times New Roman"/>
          <w:sz w:val="20"/>
        </w:rPr>
      </w:pPr>
      <w:r>
        <w:rPr>
          <w:rFonts w:ascii="Times New Roman" w:hAnsi="Times New Roman"/>
          <w:i/>
          <w:color w:val="000000"/>
          <w:sz w:val="20"/>
        </w:rPr>
        <w:t>Human Clinical Trials in Support of an NDA</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Each protocol, and any subsequent material amendment to the protocol, must be submitted to the FDA as part of the IND, and progress reports detailing the status of the clinical trials must be submitted to the FDA annually.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the following sequential phases, which may overlap or be combined: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 The drug is administered to a limited patient population to identify possible adverse effects and safety risks, to preliminarily evaluate the efficacy of the product for specific targeted diseases and to determine dosage tolerance and optimal dosage.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 These clinical trials are commonly referred to as “pivotal” studies, which denotes a study that presents the data that the FDA or other relevant regulatory agency will use to determine whether or not to approve a drug.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4: Post-approval studies, which are conducted following initial approval, are typically conducted to gain additional experience and data from treatment of patients in the intended therapeutic indication.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the FDA finalized guidance entitled “Expansion Cohorts: Use in First-In-Human Clinical Trials to Expedite Development of Oncology Drugs and Biologics,” which outlines how sponsors can utilize an adaptive trial design in the early stages of oncology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product development and reduce developmental costs and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the FDA issued draft guidance with updated recommendations for GCPs aimed at modernizing the design and conduct of clinical trials. The updates are intended to help pave the way for more efficient clinical trials to facilitate the development of medical products. The draft guidance is adopted from the International Council for Harmonisation’s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Interactions with FDA During the Clinical Development Program</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Following the clearance of an IND and the commencement of clinical trials, the sponsor will continue to have interactions with the FDA. 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hAnsi="Times New Roman"/>
          <w:i/>
          <w:color w:val="000000"/>
          <w:sz w:val="20"/>
        </w:rPr>
        <w:t>in vitro</w:t>
      </w:r>
      <w:r>
        <w:rPr>
          <w:rFonts w:ascii="Times New Roman" w:hAnsi="Times New Roman"/>
          <w:color w:val="000000"/>
          <w:sz w:val="20"/>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sponsors are given opportunities to meet with the FDA at certain points in the clinical development program. Specifically, sponsors may meet with the FDA prior to the submission of an IND (Pre-IND meeting), at the end of Phase 2 clinical trial (EOP2 meeting) and before an NDA is submitted (Pre-NDA meeting).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EOP2 meetings. A Type C meeting is any meeting other than a Type A or Type B meeting regarding the development and review of a product, including for example meetings to facilitate early consultations on the use of a biomarker as a new surrogate endpoint that has never been previously used as the primary basis for product approval in the proposed context of use. A Type D meeting is focused on a narrow set of issues (should be limited to no more than 2 focused topics) and should not require input from more than 3 disciplines or divisions. Finally, INTERACT meetings are intended for novel products and development programs that present unique challenges in the early development of an investigational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meetings provide an opportunity for the sponsor to share information about the data gathered to date with the FDA and for the FDA to provide advice on the next phase of development. For example, at an EOP2, a sponsor may discuss its Phase 2 clinical results and present its plans for the pivotal Phase 3 clinical trial(s) that it believes will support the approval of the new product. Such meetings may be conducted in person, via teleconference/videoconference or written response only with minutes reflecting the questions that the sponsor posed to the FDA and the agency’s responses.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Manufacturing and Other Regulatory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Pediatric Studies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Pediatric Research Equity Act, or the PREA, applications and certain types of supplements to applications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sponsor must submit an initial Pediatric Study Plan, or PSP, within 60 days of an end-of-phase 2 meeting or as may be agreed between the sponsor and the FDA. Those plans must contain an outline of the proposed pediatric study or studies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sponsor and the FDA must reach agreement on a final plan. A sponsor can submit amendments to an agreed-upon initial PSP at any time if changes to the pediatric plan need to be considered based on data collected from nonclinical studies, early phase clinical trials, and/or other clinical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FDA is required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the sponsor’s response. Unless otherwise required by regulation, the pediatric data requirements do not apply to products with orphan designation, although FDA has recently taken steps to limit what it considers abuse of this statutory exemption in PREA by announcing that it does not intend to grant any additional orphan drug designations for rare pediatric subpopulations of what is otherwise a common disease. The FDA also maintains a list of diseases that are exempt from PREA requirements due to low prevalence of disease in the pediatric population. In May 2023, the FDA issued new draft guidance that further describes the pediatric study requirements under PREA.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i/>
          <w:color w:val="000000"/>
          <w:sz w:val="20"/>
        </w:rPr>
        <w:t>Fast Track, Breakthrough Therapy, Priority Review and Regenerative Advanced Therapy Designations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and regenerative advanced therapy designation.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Specifically, the FDA may designate a product for fast-track review if it is intended, whether alone or in combination with one or more other products, for the treatment of a serious or life-threatening disease or condition, and it demonstrates the potential to address unmet medical needs for such a disease or condition. For fast-track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Fourth, 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pStyle w:val="TextBody"/>
        <w:bidi w:val="0"/>
        <w:spacing w:before="200" w:after="283"/>
        <w:jc w:val="left"/>
        <w:rPr>
          <w:rFonts w:ascii="Times New Roman" w:hAnsi="Times New Roman"/>
          <w:sz w:val="20"/>
        </w:rPr>
      </w:pPr>
      <w:r>
        <w:rPr>
          <w:rFonts w:ascii="Times New Roman" w:hAnsi="Times New Roman"/>
          <w:i/>
          <w:color w:val="000000"/>
          <w:sz w:val="20"/>
        </w:rPr>
        <w:t>Accelerated Approval Pathway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 the passage of FDORA, Congress modified certain provisions governing accelerated approval of drug and biologic products. Specifically, the new legislation authorized the FDA to (i) require a sponsor to have its confirmatory clinical trial underway before accelerated approval is awarded, (ii) require a sponsor of a product granted accelerated approval to submit progress reports on its post-approval studies to the FDA every six months (until the study is completed) and use expedited procedures to withdraw accelerated approval of an NDA or biologics license application after the confirmatory trial fails to verify the product’s clinical benefit. Further, FDORA requires the FDA to publish on its website “the rationale for why a post-approval study is not appropriate or necessary” whenever it decides not to require such a study upon granting accelerated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March 2023, the FDA issued draft guidance that outlines its current thinking and approach to accelerated approval. The agency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While this guidance is currently only in draft form and will ultimately not be legally binding even when finalized, sponsors typically observe FDA’s guidance closely to ensure that their investigational products qualify for accelerated approval.</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Acceptance and Review of NDAs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Assuming successful completion of the required clinical testing, the results of the preclinical studies and clinical trials, along with information relating to the product’s chemistry, manufacturing, controls, safety updates, patent information, abuse information and proposed labeling, are submitted to the FDA as part of an application requesting approval to market the product candidate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a drug product. The fee required for the submission and review of an application under the PDUFA is substantial (for example, for federal fiscal year 2024 this application fee is $4,048,695), and the sponsor of an approved application is also subject to an annual program fee, currently set at$416,734 per eligible prescription product for federal fiscal year 2024.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conducts a preliminary review of all applications within 60 days of receipt and must inform the sponsor at that time or before whether an application is sufficiently complete to permit substantive review. In pertinent part, the FDA’s regulations state that an application “shall not be considered as filed until all pertinent information and data have been received” by the FDA. In the event that FDA determines that an application does not satisfy this standard, it will issue a Refuse to File, or RTF, determination to the sponsor. Typically, an RTF will be based on administrative incompleteness, such as clear omission of information or sections of required information; scientific incompleteness, such as omission of critical data, information or analyses needed to evaluate safety and efficacy or provide adequate directions for use; or inadequate content, presentation, or organization of information such that substantive and meaningful review is precluded. The FDA may request additional information rather than accept an application for filing. In this event, the application must be resubmitted with the additional information. The resubmitted application is also subject to review before the FDA accepts it for filing.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After the submission is accepted for filing, the FDA begins an in-depth substantive review of the application. The FDA reviews the application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that is a new molecular entity, and six months from the filing date for an application with “priority review.”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an application to extend beyond the PDUFA goal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its review of an application, the FDA will typically submit information requests to the sponsor and set deadlines for responses thereto. The FDA will also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are adequate to assure consistent production of the product within required specifications. The FDA also may inspect the sponsor and one or more clinical trial sites to assure compliance with IND and GCP requirements and the integrity of the clinical data submitted to the FDA.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 To ensure cGMP and GCP compliance by its employees and third-party contractors, a sponsor may incur significant expenditure of time, money and effort in the areas of training, record keeping, production and quality control.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the FDA may refer an application,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sponsor interprets the same data. The FDA may also re-analyze the clinical trial data, which could result in extensive discussions between the FDA and the sponsor during the review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also may require submission of a REMS if it determines that a REMS is necessary to ensure that the benefits of the product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application must submit a proposed REMS and the FDA will not approve the application without a REMS.</w:t>
      </w:r>
    </w:p>
    <w:p>
      <w:pPr>
        <w:pStyle w:val="TextBody"/>
        <w:bidi w:val="0"/>
        <w:spacing w:before="200" w:after="283"/>
        <w:jc w:val="left"/>
        <w:rPr>
          <w:rFonts w:ascii="Times New Roman" w:hAnsi="Times New Roman"/>
          <w:sz w:val="20"/>
        </w:rPr>
      </w:pPr>
      <w:r>
        <w:rPr>
          <w:rFonts w:ascii="Times New Roman" w:hAnsi="Times New Roman"/>
          <w:i/>
          <w:color w:val="000000"/>
          <w:sz w:val="20"/>
        </w:rPr>
        <w:t>Decisions on NDAs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reviews an NDA to determine, among other things, whether the product is safe and whether it is effective for its intended use(s), with the latter determination being made on the basis of substantial evidence. The term “substantial evidence” is defined under the FDCA as “evidence consisting of adequate and well-controlled investigations, including clinical investigations, by experts qualified by scientific training and experience to evaluate the effectiveness of the product involved, on the basis of which it could fairly and responsibly be concluded by such experts that the product will have the effect it purports or is represented to have under the conditions of use prescribed, recommended, or suggested in the labeling or proposed labeling thereof.”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has interpreted this evidentiary standard to require at least two adequate and well-controlled clinical investigations to establish effectiveness of a new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FDA determines, based on relevant science, that data from one adequate and well-controlled clinical investigation and confirmatory evidence (obtained prior to or after such investigation) are sufficient to establish effectiveness, the FDA may consider such data and evidence to constitute substantial evidence.” This modification to the law recognized the potential for the FDA to find that one adequate and well controlled clinical investigation with confirmatory evidence, including supportive data outside of a controlled trial, is sufficient to establish effectiveness. In December 2019, the FDA issued draft guidance further explaining the studies that are needed to establish substantial evidence of effectiveness. Although the FDA has not yet finalized that guidance, the agency did issue draft guidance in September 2023 that outlines considerations for relying on confirmatory evidence in lieu of a second clinical trial to demonstrate efficacy.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drug is effective and that its expected benefits outweigh its potential risks to patients. This “benefit-risk” assessment is informed by the extensive body of evidence about the product’s safety and efficacy in the NDA.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 In connection with this assessment, the FDA review team will assemble all individual reviews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other documents into an “action package,” which becomes the record for FDA review. The review team then issues a recommendation, and a senior FDA official makes a decision.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 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has committed to reviewing such resubmissions in two or six months depending on the type of information included. Even with the submission of this additional information, the FDA ultimately may decide that the application does not satisfy the regulatory criteria for approval. The FDA has taken the position that a CRL is not final agency action making the determination subject to judicial review.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Ensuring Innovation Act, which was signed into law in April 2021, the FDA must publish action packages summarizing its decisions to approve new drugs within 30 days of approval of such products. CRLs are not publicly available documents.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Post-Approval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NDAs or supplements to approved NDAs,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 regulations impose rigorous restrictions on manufacturers’ communications, prohibiting the promotion of off-label uses.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company is found to have promoted off-label uses, it may become subject to adverse public relations and administrative and judicial enforcement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distribution of prescription pharmaceutical products is subject to a variety of federal and state laws, the most recent of which is still in the process of being phased into the U.S. supply chain and regulatory framework. The Prescription Drug Marketing Act, or the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Congress more recently enacted the Drug Supply Chain Security Act, or the DSCSA, which made significant amendments to the FDCA, including by replacing certain provisions from the PDMA pertaining to wholesale distribution of prescription drugs with a more comprehensive statutory scheme. The DSCSA now requires uniform national standards for wholesale distribution and, for the first time, for third-party logistics providers; it also provides for preemption of certain state laws in the areas of licensure and prescription drug traceability.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Section 505(b)(2) NDAs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NDAs for most new drug products are based on two full clinical studies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505(b)(2) authorizes the FDA to approve an NDA based on safety and effectiveness data that were not developed by the sponsor. NDAs filed under Section 505(b)(2) may provide an alternate and potentially more expeditious pathway to FDA approval for new or improved formulations or new uses of previously approved products. If the Section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Generic Drugs and Regulatory Exclusivity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1984, with passage of the Hatch-Waxman Amendments to the FDCA, Congress authorized the FDA to approve generic drugs that are the same as drugs previously approved by the FDA under the NDA provisions of the statute. To obtain approval of a generic drug, the sponsor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Upon approval of an abbreviated new drug application, or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Hatch-Waxman Amendments, the FDA may not approve an ANDA or 505(b)(2) application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In cases where such NCE exclusivity has been granted, a generic or follow-on drug application may not be filed with the FDA until the expiration of five years unless the submission is accompanied by a Paragraph IV certification, in which case the sponsor may submit its application four years following the original product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FDCA also provides for a period of three years of exclusivity if the NDA includes reports of one or more new clinical investigations, other than bioavailability or bioequivalence studies, that were conducted by or for the sponsor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new legislation also authorizes the FDA to expedite review of competitor generic therapies or drugs with inadequate generic competition, including holding meetings with or providing advice to the drug sponsor prior to submission of the application. </w:t>
      </w:r>
    </w:p>
    <w:p>
      <w:pPr>
        <w:pStyle w:val="TextBody"/>
        <w:bidi w:val="0"/>
        <w:spacing w:before="240" w:after="283"/>
        <w:jc w:val="left"/>
        <w:rPr>
          <w:rFonts w:ascii="Times New Roman" w:hAnsi="Times New Roman"/>
          <w:sz w:val="20"/>
        </w:rPr>
      </w:pPr>
      <w:r>
        <w:rPr>
          <w:rFonts w:ascii="Times New Roman" w:hAnsi="Times New Roman"/>
          <w:i/>
          <w:color w:val="000000"/>
          <w:sz w:val="20"/>
        </w:rPr>
        <w:t>Hatch-Waxman Patent Certification and the 30-Month Stay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part of the submission of an NDA or certain supplemental applications, NDA sponsors are required to list with the FDA each patent with claims that cover the sponsor’s product or an approved method of using the product. Upon approval of a new drug, each of the patents listed in the application for the drug is then published in the Orange Book. The FDA’s regulations governing patent listings were largely codified into law with enactment of the Orange Book Modernization Act in January 2021.When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the sponsor must certify with respect to each patent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required patent information has not been filed;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has expired;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has not expired, but will expire on a particular date and approval is sought after patent expiration;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is invalid, unenforceable or will not be infringed by the new product.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sponsor is not seeking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sponsor.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sponsor.</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Pediatric Exclusivity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Pediatric exclusivity is another type of non-patent marketing exclusivity in the United States and, if granted, provides for the attachment of an additional six months of exclusivity to the term of any existing unexpired patent or regulatory exclusivity, including the non-patent and orphan exclusivity, for drug products.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sponsor submitted a paragraph IV patent certification, unless the NDA sponsor or patent owner first obtains a court determination that the patent is valid and infringed by a proposed generic product.</w:t>
      </w:r>
    </w:p>
    <w:p>
      <w:pPr>
        <w:pStyle w:val="TextBody"/>
        <w:bidi w:val="0"/>
        <w:spacing w:before="200" w:after="283"/>
        <w:jc w:val="left"/>
        <w:rPr>
          <w:rFonts w:ascii="Times New Roman" w:hAnsi="Times New Roman"/>
          <w:sz w:val="20"/>
        </w:rPr>
      </w:pPr>
      <w:r>
        <w:rPr>
          <w:rFonts w:ascii="Times New Roman" w:hAnsi="Times New Roman"/>
          <w:i/>
          <w:color w:val="000000"/>
          <w:sz w:val="20"/>
        </w:rPr>
        <w:t>Orphan Drug Designation and Exclusivity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FDARA, orphan exclusivity will not bar approval of another orphan drug under certain circumstances, including if a subsequent product with the same drug for the same indication is shown to be clinically superior to the approved product on the basis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of greater efficacy or safety, or providing a major 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Patent Term Restoration and Extension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Review and Clearance or Approval of Medical Devices in the United States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Medical devices in the United States are strictly regulated by the FDA. Under the FDCA, a medical device is defined as an instrument, apparatus, implement, machine, contrivance, implant, </w:t>
      </w:r>
      <w:r>
        <w:rPr>
          <w:rFonts w:ascii="Times New Roman" w:hAnsi="Times New Roman"/>
          <w:i/>
          <w:color w:val="000000"/>
          <w:sz w:val="20"/>
        </w:rPr>
        <w:t>in vitro</w:t>
      </w:r>
      <w:r>
        <w:rPr>
          <w:rFonts w:ascii="Times New Roman" w:hAnsi="Times New Roman"/>
          <w:color w:val="000000"/>
          <w:sz w:val="20"/>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an exemption applies, a new medical device may not be marketed in the United States until it has been cleared through filing of a 510(k) premarket notification, or 510(k), or approved by the FDA pursuant to a premarket approval application, or PMA.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 notification and adherence to the Quality System Regulation, or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 device, are subject to most of the aforementioned requirements as well as to premarket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 PMA applications are subject to an application fee. For federal fiscal year 2024, the standard fee is $483,560 and the small business fee is $120,890.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 requires the submission of a 510(k), but the modification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Non-significant risk devices are devices that do not pose a significant risk to the human subjects. A non-significant risk device study requires only IRB approval prior to initiation of a clinical study.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pStyle w:val="TextBody"/>
        <w:bidi w:val="0"/>
        <w:spacing w:before="240" w:after="283"/>
        <w:jc w:val="left"/>
        <w:rPr>
          <w:rFonts w:ascii="Times New Roman" w:hAnsi="Times New Roman"/>
          <w:sz w:val="20"/>
        </w:rPr>
      </w:pPr>
      <w:r>
        <w:rPr>
          <w:rFonts w:ascii="Times New Roman" w:hAnsi="Times New Roman"/>
          <w:i/>
          <w:color w:val="000000"/>
          <w:sz w:val="20"/>
        </w:rPr>
        <w:t>Review and Approval of Combination Products in the United States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Certain products may be comprised of components that would normally be regulated under different types of regulatory authorities, and frequently by different Centers at the FDA. These products are known as combination products. Under regulations issued by the FDA, a combination product may be: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comprised of two or more regulated components that are physically, chemically, or otherwise combined or mixed and produced as a single entity;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two or more separate products packaged together in a single package or as a unit and comprised of drug and device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investigational drug or device packaged separately that according to its proposed labeling is for use only with another individually specified investigational drug, device, or biological product where both are required to achieve the intended use, indication, or effect.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FDCA, the FDA is charged with assigning a center with primary jurisdiction, or a lead center, for review of a combination product. That determination is based on the “primary mode of action” of the combination product. Thus, if the primary mode of action of a device-drug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Federal and State Data Privacy Laws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are multiple privacy and data security laws that may impact our business activities, in the United States and in other countries where we conduct business or trials or where we may do business in the future. These laws are evolving and may increase both our obligations and our regulatory risks in the future. In the health care industry generally, under the Health Insurance Portability and Accountability Act of 1996, or HIPAA, the HHS has issued regulations to protect the privacy and security of protected health information, or PHI, used or disclosed by covered entities including certain healthcare providers, health plans, and healthcare clearinghouses. HIPAA also regulates standardization of data content, codes, and formats used in healthcare transactions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are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2018 California passed into law the California Consumer Privacy Act, or CCPA, which took effect on January 1, 2020, and imposed many requirements on businesses that process the personal information of California residents. Many of the CCPA’s requirements are similar to those found in the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will regulate the collection and sharing of health information, and the law also has a private right of action, which further increases the relevant compliance risk. Connecticut and Nevada have also passed similar laws regulating consumer health data and additional states are considering such legislation for 2024. These laws may impact our business activities, including our identification of research subjects, relationships with business partners and ultimately the marketing and distribution of our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We are subject to similar foreign laws to the extent our products are sold in foreign countries.</w:t>
      </w:r>
    </w:p>
    <w:p>
      <w:pPr>
        <w:pStyle w:val="TextBody"/>
        <w:bidi w:val="0"/>
        <w:spacing w:before="240" w:after="283"/>
        <w:jc w:val="left"/>
        <w:rPr>
          <w:rFonts w:ascii="Times New Roman" w:hAnsi="Times New Roman"/>
          <w:sz w:val="20"/>
        </w:rPr>
      </w:pPr>
      <w:r>
        <w:rPr>
          <w:rFonts w:ascii="Times New Roman" w:hAnsi="Times New Roman"/>
          <w:i/>
          <w:color w:val="000000"/>
          <w:sz w:val="20"/>
        </w:rPr>
        <w:t>Review and Approval of Drug Products in the European Union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regulations in the United States, we will be subject to a variety of foreign regulations governing clinical trials and commercial sales and distribution of our products outside of the United States. Whether or not we obtain FDA approval for a product candidate, we must obtain approval by the comparable regulatory authorities of foreign countries or economic areas, such as the 27-member EU, before we may commence clinical trials or market products in those countries or areas. In the EU, our product candidates also may be subject to extensive regulatory requirements. As in the United States, medicinal products can be marketed only if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marketing authorization from the competent regulatory agencies has been obtained. Similar to the United States, the various phases of preclinical and clinical research in the EU are subject to significant regulatory controls.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 the exception of the EU/European Economic Area, or the EEA, applying the harmonized regulatory rules for medicinal products, the approval process and requirements governing the conduct of clinical trials, product licensing, pricing and reimbursement vary greatly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Non-clinical Studies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Clinical Trial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31, 2022, the new Clinical Trials Regulation (EU) No 536/2014, or the Clinical Trials Regulation, became effective in the European Union and replaced the prior Clinical Trials Directive 2001/20/EC. The new Clinical Trials Regulation aims at simplifying and streamlining the authorization, conduct and transparency of clinical trials in the European Union. Under the new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Beyond streamlining the process, the Clinical Trials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Clinical Trials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clinical site after the applicable ethics committee has issued a favorable opinion.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Parties conducting certain clinical trials must, as in the United States, post clinical trial information in the EU at the EudraCT website: https://eudract.ema.europa.eu.</w:t>
      </w:r>
    </w:p>
    <w:p>
      <w:pPr>
        <w:pStyle w:val="TextBody"/>
        <w:bidi w:val="0"/>
        <w:spacing w:before="360" w:after="283"/>
        <w:jc w:val="left"/>
        <w:rPr>
          <w:rFonts w:ascii="Times New Roman" w:hAnsi="Times New Roman"/>
          <w:sz w:val="20"/>
        </w:rPr>
      </w:pPr>
      <w:r>
        <w:rPr>
          <w:rFonts w:ascii="Times New Roman" w:hAnsi="Times New Roman"/>
          <w:i/>
          <w:color w:val="000000"/>
          <w:sz w:val="20"/>
        </w:rPr>
        <w:t>Procedures Governing Approval of Drug Products in the European Union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European Clinical Trials Directive, a system for the approval of clinical trials in the European Union has been implemented through national legislation of the member states. Under this system, a sponsor must obtain approval from the competent national authority of an E.U.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obtain marketing approval of a product under European Union regulatory systems, a sponsor must submit a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centralized procedure,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decentralized procedure is available to sponsors who wish to market a product in various E.U. member states where such product has not previously received marketing approval in any E.U. member states. The decentralized procedure provides for approval by one or more other, or concerned, member states of an assessment of an application performed by one member state designated by the applicant, known as the reference member state. Under this procedure, a sponsor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Within this framework, manufacturers may seek approval of hybrid medicinal products under Article 10(3) of Directive 2001/83/EC. Hybrid applications rely, in part, on information and data from a reference product and new data from appropriate preclinical tests and clinical trials. Such applications are necessary when the proposed product does not meet the strict definition of a generic medicinal product, or bioavailability studies cannot be used to demonstrate bioequivalence, or there are changes in the active substance(s), therapeutic indications, strength, pharmaceutical form or route of administration of the generic product compared to the reference medicinal product. In such cases the results of tests and trials must be consistent with the data content standards required in the Annex to the Directive 2001/83/EC, as amended by Directive 2003/63/EC.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Hybrid medicinal product applications have automatic access to the centralized procedure when the reference product was authorized for marketing via that procedure. Where the reference product was authorized via the decentralized procedure, a hybrid application may be accepted for consideration under the centralized procedure if the sponsor shows that the medicinal product constitutes a significant therapeutic, scientific or technical innovation, or the granting of a community authorization for the medicinal product is in the interest of patients at the community level.</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Conditional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circumstances, EU legislation (Article 14–a Regulation (EC) No 726/2004 (as amended by Regulation (EU) 2019/5 and Regulation (EC) No 507/2006 on Conditional Marketing Authorizations for Medicinal Products for Human Use)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a marketing authorization may be granted prior to submission of comprehensive clinical data provided that the benefit of the immediate availability on the market of the medicinal product concerned outweighs the risk inherent in the fact that additional data are still required; (4) the risk-benefit balance of the product candidate is positive, and (5) 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i/>
          <w:color w:val="000000"/>
          <w:sz w:val="20"/>
        </w:rPr>
      </w:pPr>
      <w:r>
        <w:rPr>
          <w:rFonts w:ascii="Times New Roman" w:hAnsi="Times New Roman"/>
          <w:i/>
          <w:color w:val="000000"/>
          <w:sz w:val="20"/>
        </w:rPr>
        <w:t>Exceptional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Marketing authorization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marketing authorization is close to the conditional marketing authorization as it is reserved to medicinal products to be approved for severe diseases or unmet medical needs and the applicant does not hold the complete data set legally required for the grant of marketing authorization. However, unlike the conditional marketing authorization, the applicant does not have to provide the missing data and will never have to. Although marketing authorization “under exceptional circumstances” is granted definitively, the risk-benefit balance of the medicinal product is reviewed annually and the marketing authorization is withdrawn in case the risk-benefit ratio is no longer favorable. Under these procedures, before granting the marketing authorization, EMA or the competent authorities of the member states make an assessment of the risk-benefit balance of the product on the basis of scientific criteria concerning its quality, safety, and efficacy. Except conditional marketing authorizations, marketing authorizations have an initial duration of five years. After these five years, the authorization may be renewed on the basis of a reevaluation of the risk-benefit balance.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Pediatric Studies in the EU</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obtaining a marketing authorization in the European Union,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in children is not needed or is not appropriate because (a) the product is likely to be ineffective or unsafe in part or all of the pediatric population; (b) the disease or condition occurs only in adult population; or (c) the product does not represent a significant therapeutic benefit over existing treatments for pediatric population. Before an MAA can be filed, or an existing marketing authorization can be amended, the EMA determines that companies actually comply with the agreed studies and measures listed in each relevant PIP.</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PRIME Designation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pStyle w:val="TextBody"/>
        <w:bidi w:val="0"/>
        <w:spacing w:before="200" w:after="283"/>
        <w:jc w:val="left"/>
        <w:rPr>
          <w:rFonts w:ascii="Times New Roman" w:hAnsi="Times New Roman"/>
          <w:sz w:val="20"/>
        </w:rPr>
      </w:pPr>
      <w:r>
        <w:rPr>
          <w:rFonts w:ascii="Times New Roman" w:hAnsi="Times New Roman"/>
          <w:i/>
          <w:color w:val="000000"/>
          <w:sz w:val="20"/>
        </w:rPr>
        <w:t>Periods of Authorization and Renewals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with respect to quality, safety and efficacy, including all variations introduced since the marketing authorization was granted, at least six months before the marketing authorization ceases to be valid. Once renewed, the marketing authorization is valid for an unlimited period, unless the EC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Regulatory Requirements after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in the United States, both marketing authorization holders and manufacturers of medicinal products are subject to comprehensive regulatory oversight by the EMA and the competent authorities of the individual EU Member States both before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grant of the manufacturing and marketing authorizations. The holder of an EU marketing authorization for a medicinal product must, for example, comply with EU pharmacovigilance legislation and its related regulations and guidelines which entail many requirements for conducting pharmacovigilance, or the assessment and monitoring of the safety of medicinal products. The manufacturing process for medicinal products in the EU is also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including compliance with EU cGMP standards when manufacturing medicinal products and active pharmaceutical ingredients.</w:t>
      </w:r>
    </w:p>
    <w:p>
      <w:pPr>
        <w:pStyle w:val="TextBody"/>
        <w:bidi w:val="0"/>
        <w:jc w:val="left"/>
        <w:rPr>
          <w:rFonts w:ascii="Times New Roman" w:hAnsi="Times New Roman"/>
          <w:color w:val="000000"/>
          <w:sz w:val="20"/>
        </w:rPr>
      </w:pPr>
      <w:r>
        <w:rPr>
          <w:rFonts w:ascii="Times New Roman" w:hAnsi="Times New Roman"/>
          <w:color w:val="000000"/>
          <w:sz w:val="20"/>
        </w:rPr>
        <w:t>In the EU, the advertising and promotion of approved products are subject to EU Member States’ laws governing promotion of medicinal products, interactions with clinicians,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orSmPC, as approved by the competent authorities. Promotion of a medicinal product that does not comply with the SmPC is considered to constitute off-label promotion, which is prohibited in the EU.</w:t>
      </w:r>
    </w:p>
    <w:p>
      <w:pPr>
        <w:pStyle w:val="TextBody"/>
        <w:bidi w:val="0"/>
        <w:spacing w:before="240" w:after="283"/>
        <w:jc w:val="left"/>
        <w:rPr>
          <w:rFonts w:ascii="Times New Roman" w:hAnsi="Times New Roman"/>
          <w:sz w:val="20"/>
        </w:rPr>
      </w:pPr>
      <w:r>
        <w:rPr>
          <w:rFonts w:ascii="Times New Roman" w:hAnsi="Times New Roman"/>
          <w:i/>
          <w:color w:val="000000"/>
          <w:sz w:val="20"/>
        </w:rPr>
        <w:t>Data and Market Exclusivity in the European Union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product if such company can complete a full MAA with a complete database of pharmaceutical tests, preclinical tests and clinical trials and obtain marketing approval of its product.</w:t>
      </w:r>
    </w:p>
    <w:p>
      <w:pPr>
        <w:pStyle w:val="TextBody"/>
        <w:bidi w:val="0"/>
        <w:spacing w:before="240" w:after="283"/>
        <w:jc w:val="left"/>
        <w:rPr>
          <w:rFonts w:ascii="Times New Roman" w:hAnsi="Times New Roman"/>
          <w:sz w:val="20"/>
        </w:rPr>
      </w:pPr>
      <w:r>
        <w:rPr>
          <w:rFonts w:ascii="Times New Roman" w:hAnsi="Times New Roman"/>
          <w:i/>
          <w:color w:val="000000"/>
          <w:sz w:val="20"/>
        </w:rPr>
        <w:t>Orphan Drug Designation and Exclusivity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criteria for designating an orphan medicinal product in the EU are similar in principle to those in the United States. Under Article 3 of Regulation (EC) 141/2000, a medicinal product may be designated as orphan if (1) it is intended for the diagnosis, prevention or treatment of a life- 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term ‘significant benefit’ is defined in Regulation (EC) 847/2000 to mean a clinically relevant advantage or a major contribution to patient care.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Orphan medicinal products are eligible for financial incentives such as reduction of fees or fee waivers and are, upon grant of a marketing authorization, entitled to ten years of market exclusivity for the approved therapeutic indication. During this ten-year market exclusivity period, the EMA or the competent authorities of the Member States of the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sponsor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ten-year market exclusivity in the EU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(1) the second sponsor can establish that its product, although similar, is safer, more effective or otherwise clinically superior; (2) the sponsor consents to a second orphan medicinal product application; or (3) the sponsor cannot supply enough orphan medicinal product.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Pediatric Exclusivity in the EU</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a sponsor obtains a marketing authorization in all EU Member States, or a marketing authorization granted in the centralized procedure by the European Commission, and the study results for the pediatric population are included in the product information,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even when negative, the medicine is then eligible for an additional six-month period of qualifying patent protection through extension of the term of the Supplementary Protection Certificate, or SPC, or alternatively a one year extension of the regulatory market exclusivity from ten to eleven years, as selected by the marketing authorization holder.</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Patent Term Extensions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EU also provides for patent term extension through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Although SPCs are available throughout the EU, sponsors must apply on a country</w:t>
        <w:noBreakHyphen/>
        <w:t>by</w:t>
        <w:noBreakHyphen/>
        <w:t>country basis. Similar patent term extension rights exist in certain other foreign jurisdictions outside the EU.</w:t>
      </w:r>
    </w:p>
    <w:p>
      <w:pPr>
        <w:pStyle w:val="TextBody"/>
        <w:bidi w:val="0"/>
        <w:spacing w:before="240" w:after="283"/>
        <w:jc w:val="left"/>
        <w:rPr>
          <w:rFonts w:ascii="Times New Roman" w:hAnsi="Times New Roman"/>
          <w:sz w:val="20"/>
        </w:rPr>
      </w:pPr>
      <w:r>
        <w:rPr>
          <w:rFonts w:ascii="Times New Roman" w:hAnsi="Times New Roman"/>
          <w:i/>
          <w:color w:val="000000"/>
          <w:sz w:val="20"/>
        </w:rPr>
        <w:t>Brexit and the Regulatory Framework in the United Kingdom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withdrawal of the United Kingdom from the European Union, took place on January 31, 2020. The European Union and the United Kingdom reached an agreement on their new partnership in the Trade and Cooperation Agreement, or the TCA, which was applied provisionally beginning on January 1, 2021, and which entered into force on May 1, 2021. The TCA focuses primarily on free trade by ensuring no tariffs or quotas on trade in goods, including healthcare products such as medicinal products. Thereafter, the European Union and the United Kingdom will form two separate markets governed by two distinct regulatory and legal regimes, except that Northern Ireland will continue to broadly follow EU laws as further described below. As such, the TCA seeks to minimize barriers to trade in goods while accepting that border checks will become inevitable as a consequence that the United Kingdom is no longer part of the single market. As of January 1, 2021, the Medicines and Healthcare products Regulatory Agency, or MHRA, became responsible for supervising medicines and medical devices in Great Britain, comprising England, Scotland, and Wales under domestic law whereas Northern Ireland continues to be subject to EU rules under the Northern Ireland Protocol. </w:t>
      </w:r>
    </w:p>
    <w:p>
      <w:pPr>
        <w:pStyle w:val="TextBody"/>
        <w:bidi w:val="0"/>
        <w:jc w:val="left"/>
        <w:rPr>
          <w:rFonts w:ascii="Times New Roman" w:hAnsi="Times New Roman"/>
          <w:color w:val="000000"/>
          <w:sz w:val="20"/>
        </w:rPr>
      </w:pPr>
      <w:r>
        <w:rPr>
          <w:rFonts w:ascii="Times New Roman" w:hAnsi="Times New Roman"/>
          <w:color w:val="000000"/>
          <w:sz w:val="20"/>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United Kingdom. In particular, the MHRA will be responsible for approving all medicinal products destined for the UK market (i.e., GB and Northern Ireland), and the EMA will no longer have any role in approving medicinal products destined for Northern Ireland. A single UK-wide marketing authorization will be granted by the MHRA for all medicinal products to be sold in the United Kingdom, enabling products to be sold in a single pack and under a single authorization throughout the United Kingdom. The Windsor Framework was approved by the EU-UK Joint Committee on March 24, 2023, so the UK government and the European Union will enact legislative measures to bring it into law. On June 9, 2023, the MHRA announced that the medicines aspects of the Windsor Framework will apply as of January 1, 2025. The Human Medicines Regulations 2012 (SI 2012/1916) (as amended), or the HMR, is the primary legal instrument for the regulation of medicines in the UK. The HMR has incorporated into the domestic law the body of EU law instruments governing medicinal products that existed prior to the United Kingdom’s withdrawal from the European Union.</w:t>
      </w:r>
    </w:p>
    <w:p>
      <w:pPr>
        <w:pStyle w:val="TextBody"/>
        <w:bidi w:val="0"/>
        <w:jc w:val="left"/>
        <w:rPr>
          <w:rFonts w:ascii="Times New Roman" w:hAnsi="Times New Roman"/>
          <w:color w:val="000000"/>
          <w:sz w:val="20"/>
        </w:rPr>
      </w:pPr>
      <w:r>
        <w:rPr>
          <w:rFonts w:ascii="Times New Roman" w:hAnsi="Times New Roman"/>
          <w:color w:val="000000"/>
          <w:sz w:val="20"/>
        </w:rPr>
        <w:t>EU laws which have been transposed into UK law through secondary legislation continue to be applicable as “retained EU law.” However, new legislation such as the (EU) Clinical Trials Regulation will not be applicable in Great Britain. Since a significant proportion of the regulatory framework for pharmaceutical products in the United Kingdom covering the quality, safety, and efficacy of pharmaceutical products, clinical trials, marketing authorizations,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United Kingdom. For example, the United Kingdom is no longer covered by the centralized procedures for obtaining EU-wide marketing authorizations from the EMA, and a separate marketing authorization will be required to market our product candidates in the United Kingdom. A new international recognition framework has been in place since January 1, 2024, whereby the MHRA will have regard to decisions on the approval of marketing authorizations made by the EMA and certain other regulators when determining an application for a new Great Britain marketing authorization.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Data Protection Regulation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collection, use, disclosure, transfer, or other processing of personal data regarding individuals in the EEA, including personal health data, is subject to the GDPR, which became effective on May 25, 2018. In the United Kingdom, the GDPR is retained in domestic law as the UK GDPR and sits alongside an amended version of the UK Data Protection Act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of the respective group of companies,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2022, President Biden signed an executive order to implement the EU-U.S. Data Privacy Framework, which would serve as a replacement to the EU-U.S. Privacy Shield. The European Union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Pharmaceutical Coverage, Pricing and Reimbursement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to secure coverage and reimbursement for any product that might be approved for sale, a company may need to conduct expensive pharmacoeconomic, health outcome studies in order to demonstrate the medical necessity, quality of life benefits, and cost-effectiveness of the product, in addition to the costs required to obtain FDA or other comparable regulatory approvals. Nonetheless, product candidates may not be considered medically necessary or cost effective in light of cost-benefit analysis.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studies that compare the cost effectiveness of our product candidates or products to other available therapies. The conduct of such studies could be expensive and result in delays in our commercialization efforts.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in order to obtain reimbursement.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and issue guidance to prescribers. The downward pressure on health care costs in general, particularly prescription drugs, has become intense. As a result, increasingly high barriers are being erected to the entry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new products. In addition, reference pricing and cross-border imports from low-priced markets exert competitive pressure that may reduce pricing within a country. Any country that has price controls or reimbursement limitations for drug products may not allow favorable reimbursement and pricing arrangements.</w:t>
      </w:r>
    </w:p>
    <w:p>
      <w:pPr>
        <w:pStyle w:val="TextBody"/>
        <w:bidi w:val="0"/>
        <w:spacing w:before="240" w:after="283"/>
        <w:jc w:val="left"/>
        <w:rPr>
          <w:rFonts w:ascii="Times New Roman" w:hAnsi="Times New Roman"/>
          <w:sz w:val="20"/>
        </w:rPr>
      </w:pPr>
      <w:r>
        <w:rPr>
          <w:rFonts w:ascii="Times New Roman" w:hAnsi="Times New Roman"/>
          <w:b/>
          <w:color w:val="000000"/>
          <w:sz w:val="20"/>
        </w:rPr>
        <w:t>Healthcare Law and Regulation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additional federal criminal laws that prohibit, among other things, knowingly and willingly executing, or attempting to execute, a scheme or making false statements in connection with the delivery of or payment for health care benefits, items, or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HHS, information related to payments and other transfers of value to certain healthcare providers and teaching hospitals and information regarding ownership and investment interests held by physicians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healthcare items or services that are reimbursed by non-governmental third-party payors, including private insurers.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Healthcare Reform</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2010, the U.S. Congress enacted the ACA which, among other things, includes changes to the coverage and payment for drug products under government health care programs. This legislation resulted in aggregate reductions to Medicare payments to providers of up to 2% per fiscal year, which will remain in effect through 2031. Other legislative changes have been proposed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pursuant to the Coronavirus Aid, Relief and Economic Security Act, or CARES Act. The American Taxpayer Relief Act of 2012, among other things, reduced Medicare payments to several providers and increased the statute of limitations period for the government to recover overpayments to providers from three to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current legislation, the actual reductions in Medicare payments may vary up to 4%. The Consolidated Appropriations Act, which was signed into law by President Biden in December 2022, made several changes to sequestration of the Medicare program. Section 1001 of the Act delays the 4% Statutory Pay-As-You-Go Act of 2010, or PAYGO, sequester for two years, through the end of calendar year 2024. Triggered by enactment of the American Rescue Plan Act of 2021, the 4% cut to the Medicare program would have taken effect in January 2023. The Act’s health care offset title includes Section 4163, which extends the 2% Budget Control Act of 2011 Medicare sequester for six months into FY 2032 and lowers the payment reduction percentages in FYs 2030 and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enactment of the 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In June 2021, the U.S. Supreme Court dismissed an action seeking to strike down the ACA after finding that the plaintiffs do not have standing to challenge the constitutionality of the ACA. Litigation and legislation over the ACA are likely to continue, with unpredictable and uncertain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rescinded those orders and issued a new Executive Order which directs federal agencies to reconsider rules and other policies that limit Americans’ access to health care and consider actions that will protect and strengthen that access. This Executive Order also directs the U.S. Department of Health and Human Services to create a special enrollment period for the Health Insurance Marketplace in response to the COVID-19 pandemic. We cannot predict how federal agencies will respond to such Executive Orders.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the HHS. Nine states have passed laws allowing for the importation of drugs from Canada. Certain of these states have submitted Section 804 Importation Program proposals and are awaiting FDA approval. On January 5, 2024, the FDA approved Florida’s plan for Canadian drug importation. 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has been delayed by Congress to January 1, 2032.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16, 2022, the Inflation Reduction Act of 2022, or IRA, was signed into law by President Biden. The new legislation has implications for Medicare Part D, which is a program available to individuals who are entitled to Medicare Part A or enrolled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6, 2023, Merck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against HHS and CMS. Litigation involving these and other provisions of the IRA will continue with unpredictable and uncertain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Employees and Human Capital</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December 31, 2023, we had 702 full-time employees and four part-time employees. Of these employees, 576 were based in the United States, 130 were based in international locations and 108 held Ph.D., Pharm.D. or M.D. degrees. None of our employees are represented by a labor union or covered under a collective bargaining agreement. We also retain independent contractors to support the goals of our organization. We are committed to providing a positive employee experience and a culture that embodies our values.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Fostering a diverse and inclusive culture which invests in attracting, retaining, engaging and developing our people is critical to achieving our business objectives and bringing value to patients, shareholders and all stakeholders. We are a majority female organization, and we maintain significant female representation at all levels. As of December 31, 2023, 55% of our workforce were women and 26% of those in senior leadership roles are women. Racial and ethnic diversity in the aggregate has improved at our company over the last few years. As of December 31, 2023, 28% of our workforce were ethnically diverse and 12% of those in senior leadership roles are ethnically diverse. However, we recognize that there is still important progress to be made, particularly as relates to Black and Latino representation at our company, and this remains an area of continued emphasis for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care for the health, well-being, and futures of our employees and their families. To incentivize and reward strong performance, we have competitive compensation and benefits programs, including short-term and long-term incentives, exceptional health and wellness benefits along with generous vacation and leave programs. We offer an array of flexible working options that balances the needs of our employees with business needs.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offer equity incentives to all new employees and an annual equity award to all our employees in connection with our annual performance reviews and regular Total Rewards programs. Our equity and cash incentive plans are aimed to increase stockholder value and the success of our company by motivating our employees to perform to the best of their abilities and achieve our and their objectives. In addition, many of our employees are stockholders of our company through participation in our Employee Stock Purchase Plan, which aligns the interests of our employees with our stockholders by providing stock ownership on a tax-deferred basis. We also provide up to a 50% match on employee contributions (up to 5% of base salary) to our 401(k) retirement savings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full-time U.S. employees are all eligible to participate in our health, vision, dental, life, and long-term disability insurance plans. To encourage employees to keep up with routine medical care and participate in our wellness program, we fund a health reimbursement account for participating employees and to help our employees cover medical expenses pre-tax, we also offer employees a flexible spending account. Our employees outside of the United States receive competitive compensation and benefits that are regularly benchmarked to ensure market norms and reflect our standards. All employees globally have access to complimentary virtual fitness programs, mental and emotional health support services, as well as support programs to assist working parents with childcare and tutoring. This benefit also extends to eldercare, pet care, and other needs facing our diverse global team.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regularly evaluate the effectiveness of our talent management practices through employee surveys and fostering a culture of ongoing feedback. In addition, we track important talent metrics such as turnover rate and employee engagement. Voluntary and involuntary turnover rates across all levels (executives/ senior managers, mid-level managers and professionals) are in alignment with, or lower than, the industry average.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Responsibility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are highly committed to policies and practices focused on sustainability, positively impacting our community and maintaining and cultivating good corporate governance. By focusing on such policies and practices, we strive to bring transformative medicines to patients, provide an engaging and inclusive workplace for our employees, minimize our impact on the environment, and always demonstrate integrity in our actions.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Information in our ESG Sustainability Report is not incorporated by reference into this Form 10-K. We look forward to continuing our commitment to giving back to our local communities in 2024 and beyond.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executive office is located at 100 Fifth Avenue, Waltham, Massachusetts, and our telephone number is 617-977-5700.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file reports and other information with the Securities and Exchange Commission, or the SEC, as required by the Securities Exchange Act of 1934, as amended, which we refer to as the Exchange Act. You can review our electronically filed reports and other information that we file with the SEC on the SEC’s web site at http://www.sec.gov.</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sz w:val="20"/>
        </w:rPr>
        <w:t>www.apellis.com</w:t>
      </w:r>
      <w:r>
        <w:rPr>
          <w:rFonts w:ascii="Times New Roman" w:hAnsi="Times New Roman"/>
          <w:color w:val="000000"/>
          <w:sz w:val="20"/>
        </w:rPr>
        <w:t>.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references to our website are not intended to, nor shall they be deemed to, incorporate information on our website into this Annual Report on Form 10-K by reference.</w:t>
      </w:r>
    </w:p>
    <w:p>
      <w:pPr>
        <w:pStyle w:val="TextBody"/>
        <w:bidi w:val="0"/>
        <w:spacing w:before="360" w:after="283"/>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Careful consideration should be given to the following risk factors, in addition to the other information set forth in this Annual Report on Form 10-K and in other documents that we file with the Securities and Exchange Commission, or SEC, in evaluating our company and our business. Investing in our common stock involves a high degree of risk. If any of the following risks actually occur, our business, financial condition, results of operations and future growth prospects could be materially and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incurred significant losses since inception, expect to incur significant and increasing losses for at least this year, and may never achieve or maintain profitability.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incurred significant annual net operating losses in every year since our inception. We expect to continue to incur net operating losses for at least this year. Our net losses were $528.6 million, $652.2 million and $746.4 million for the years ended December 31, 2023, 2022 and 2021 respectively. As of December 31, 2023, we had an accumulated deficit of $2.8 billion. While we have begun to generate revenue from sales of SYFOVRE and EMPAVELI, we have primarily financed our operations to date through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sale of our common stock in our public offerings, the sale of convertible notes, private placements of our preferred stock prior to our initial public offering, the development funding agreement with SFJ Pharmaceuticals Group, or SFJ, and the collaboration agreement with Swedish Orphan Biovitrum AB (Publ), or Sobi. We have devoted substantially all of our financial resources and efforts to research and development, including preclinical studies and our clinical trials across several disease indications, and the commercialization of SYFOVRE and EMPAVELI. Our operating results may fluctuate significantly from quarter to quarter and year to year. Net losses and negative cash flows have had, and will continue to have, an adverse effect on our stockholders’ equity and working capital.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continue to incur significant expenses and operating losses for at least this year. We anticipate that our expenses will continue to incur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commercialize EMPAVELI for the treatment of PNH in the United States and commercialize SYFOVRE for the treatment of GA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sales, marketing, distribution and other commercial infrastructure for EMPAVELI and SYFOVRE and any other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prepare to submit additional applications for regulatory approval outside the United States and continue to build a commercial infrastructure for SYFOVRE for GA in the United States and worldwide;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and conduct clinical trials of systemic pegcetacoplan for the treatment of C3G and IC-MPGN and other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continue research and preclinical and clinical development efforts for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and develop additional product candidates for complement-dependent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our product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manufacture of commercial quantities of our approved products and larger quantities of product candidates for clinical development and, potentially,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personnel, such as clinical, quality control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help us comply with our obligations as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equipment and physical infrastructure to support our research and development programs.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become and remain profitable depends on our ability to generate significant product revenue. Our ability to generate significant revenue will require us to successfully commercialize EMPAVELI and SYFOVRE in the approved jurisdictions. While we began to generate product revenue from sales of EMPAVELI in May 2021and SYFOVRE in March 2023, there can be no assurance that we will generate sufficient revenue to achieve profitability , and we may not achieve profitability for several years, if at all.</w:t>
      </w:r>
    </w:p>
    <w:p>
      <w:pPr>
        <w:pStyle w:val="TextBody"/>
        <w:bidi w:val="0"/>
        <w:jc w:val="left"/>
        <w:rPr>
          <w:rFonts w:ascii="Times New Roman" w:hAnsi="Times New Roman"/>
          <w:color w:val="000000"/>
          <w:sz w:val="20"/>
        </w:rPr>
      </w:pPr>
      <w:r>
        <w:rPr>
          <w:rFonts w:ascii="Times New Roman" w:hAnsi="Times New Roman"/>
          <w:color w:val="000000"/>
          <w:sz w:val="20"/>
        </w:rPr>
        <w:t>The successful commercialization of both products is subject to many risks. There are numerous examples of unsuccessful product launches and failures to meet expectations of market potential, including by pharmaceutical companies with more experience and resources than us. We do not anticipate our revenue from sales of EMPAVELI for the treatment of PNH alone will be sufficient for us to become profitable for several years, if at all. Our prospects depend primarily upon the commercial success of SYFOVRE.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Successful commercialization will require manufacturing, marketing and selling our approved products,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our stockholders to lose all or part of their investment.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obtained marketing approval for EMPAVELI for the treatment of PNH in the United States and for SYFOVRE for the treatment of GA in the United States but have not yet consistently demonstrated an ability to successfully conduct commercial activities.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We obtained our first marketing approval for the use of systemic pegcetacoplan to treat adult patients with PNH in the United States and began to sell EMPAVELI for the treatment of PNH in May 2021. Our collaborator Sobi obtained marketing approval in the European Union, Saudi Arabia and Australia for the use of pegcetacoplan to treat patients with PNH. We obtained marketing approval for the use of intravitreal pegcetacoplan to treat patients with GA in the United States in February 2023 and began to commercialize SYFOVRE in March 2023. Prior to obtaining these approvals, our operations were limited to financing and staffing our company, developing our technology, conducting preclinical research and clinical trials of our product candidates and preparing for a commercial launch. We have not yet consistently demonstrated an ability to conduct sales and marketing activities necessary for successful product commercialization. Accordingly, our stockholders should consider our prospects in light of the costs, uncertainties, delays and difficulties frequently encountered by biopharmaceutical companies such as ours. Any predictions made about our future success or viability may not be as accurate as they could be if we had a longer operating history or a history of successfully developing and commercializing pharmaceutical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encounter unforeseen expenses, difficulties, complications, delays and other known or unknown factors in achieving our business objectives. We will need to continue to transition from a company with a development focus to a company capable of supporting commercial activities. We may not be successful in such a transition.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our financial condition and operating results to continue to fluctuate significantly from quarter to quarter and year to year due to a variety of factors, many of which are beyond our control. Accordingly, our stockholders should not rely upon the results of any quarterly or annual periods as indications of future operating performance.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need substantial additional funding to allow us to support both our systemic and ophthalmological programs through clinical development and commercial launch, and if we are unable to raise capital when needed, we could be forced to delay, reduce or eliminate our product development programs or commercialization efforts.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Developing and commercializing pharmaceutical products, including conducting preclinical studies and clinical trials and preparing for commercial launch, is a very time-consuming, expensive and uncertain process that takes years to complete. We have consumed substantial amounts of cash since our inception. For example, in the years ended December 31, 2023, 2022 and 2021, we used net cash of $594.7 million, $513.7 million and $563.1 million respectively, in our operating activities substantially all of which related to research and development activities. As of December 31, 2023, our cash and cash equivalents were $351.2 million. We expect our expenses to continue, particularly as we commercialize EMPAVELI and SYFOVRE, initiate new clinical trials and initiate new research and preclinical development efforts. In addition, as we commercialize EMPAVELI and SYFOVRE, and if we obtain marketing approval of pegcetacoplan in other indications or jurisdictions or for our other product candidates, we expect we will incur significant commercialization expenses related to product sales, marketing, manufacturing and distribution to the extent that such sales, marketing, manufacturing and distribution are not the responsibility of the collaborator. Furthermore, we continue to incur significant costs associated with operating as a public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our cash and cash equivalents as of December 31, 2023 and the cash that we anticipate generating from the unwind of the capped call transactions, together with the cash that we anticipate will be generated from sales of EMPAVELI and SYFOVRE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 </w:t>
      </w:r>
    </w:p>
    <w:p>
      <w:pPr>
        <w:pStyle w:val="TextBody"/>
        <w:bidi w:val="0"/>
        <w:spacing w:before="200" w:after="283"/>
        <w:jc w:val="left"/>
        <w:rPr>
          <w:rFonts w:ascii="Times New Roman" w:hAnsi="Times New Roman"/>
          <w:sz w:val="20"/>
        </w:rPr>
      </w:pPr>
      <w:r>
        <w:rPr>
          <w:rFonts w:ascii="Times New Roman" w:hAnsi="Times New Roman"/>
          <w:color w:val="000000"/>
          <w:sz w:val="20"/>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hAnsi="Times New Roman"/>
          <w:color w:val="000000"/>
          <w:sz w:val="24"/>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and sell EMPAVELI and SYFOVRE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and our ability obtain regulatory approvals of SYFOVRE outside of the United States and to build a commercial infrastructure for SYFOVRE for GA in the United States and worldwide;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and our ability to effectively establish and maintain, the commercial infrastructure and manufacturing capabilities required to support the commercialization of EMPAVELI, systemic pegcetacoplan and SYFOVRE and any other products for which we receive marketing approval including product sales, medical affairs, marketing, manufacturing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and research and preclinical development efforts for systemic pegcetacoplan, SYFOVRE and our other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 productive collaborative relationship with Sobi with respect to systemic pegcetacoplan, including our ability to achieve milestone payments under our agreement with Sobi;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additional collaborators for any of our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future product candidates that we pursue and their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costs of clinical trials and of seeking regulatory approvals of pegcetacoplan in other jurisdictions and indications and other product candidates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 revenue, if any, received from commercial sales of pegcetacoplan in other jurisdictions and indications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protecting our intellectual property rights and defending against intellectual property 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public health crises, including pandemics and epidemics, on the healthcare system and the economy generally and on our clinical trials and other operations specifically;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adequate reimbursement for EMPAVELI and SYFOVRE in the United States or any other product we commercialize;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our cash,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sources of funds.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our expenses to increase in connection with our planned operations. To the extent that we raise additional capital through the sale of common stock, convertible securities or other equity securities, the ownership interest of our then-existing stockholders may be diluted, and the terms of these securities could include liquidation or other preferences and anti-dilution protections that could adversely affect the rights of our common stockholders. In addition, additional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creating liens, redeeming stock or declaring dividends, that could adversely impact our ability to conduct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2021 and 2022, we completed several privately negotiated exchanges with holders of our outstanding 3.5% senior convertible notes due 2026, or the Convertible Notes, under which we issued approximately 12.9 million shares of common stock in exchange for approximately $425.4 million in aggregate principal amount of Convertible Notes. The effective price per share of the common stock issued in the exchange transactions was lower than the trading price of our common stock on the Nasdaq Global Select Market at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time of settlement of the exchanges. We may in the future exchange additional principal amount of our Convertible Notes and the effective price per share of the common stock may be lower than the trading price at such time.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required to make substantial payments to SFJ pursuant to our development funding agreement as a result of receiving regulatory approval of EMPAVELI for the treatment of PNH. If we do not have sufficient funding or cash flow from our business to meet our payment obligations under the development funding agreement, SFJ could exercise its remedies as a holder of a first priority security interest in our assets and our business could be materially harmed.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required to make substantial payments to SFJ pursuant to our development funding agreement as a result of obtaining regulatory approvals for EMPAVELI in the United States and the EU. We have paid SFJ a total of $94.0 million through December 31, 2023, and we are obligated to pay an aggregate of $366.0 million as of December 31, 2023 in eight semi-annual payments through December 31, 2027. Our ability to make these required payments depends on our future performance and the future performance of Sobi, which is subject to economic, financial, competitive and other factors beyond our control. Our business may not generate cash flow from operations in the future sufficient to meet our obligations under the development funding agreement. If we are unable to generate such cash flow or to obtain additional funding through public or private equity offerings, debt financings, collaborations and licensing arrangements or other sources on acceptable terms or at all, we could default on our payment obligations to SFJ.</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Our payment obligations to SFJ could have significant consequences for our security holders and our business, results of operations and financial condition by, among other things: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requiring the dedication of a substantial portion of our cash flow from operations to service our meet our obligations under the development funding agreement, which will reduce the amount of cash available for other purposes; and</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Our business may not generate sufficient funds, and we may otherwise be unable to maintain sufficient cash reserves, to pay amounts due to SFJ, and our cash needs may increase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granted SFJ a first priority security interest in all of our assets other than our intellectual property and the license agreements to which we are a party. If we are unable to meet our payment obligations to SFJ, SFJ may exercise its remedies as a holder of a first priority security interest, which would result in a loss of our assets and our business would be materially harmed.</w:t>
      </w:r>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Our indebtedness could limit the cash flow available for our operations, expose us to risks that could adversely affect our business, financial condition and results of operations and impair our ability to satisfy our obligations under the Convertible Notes.</w:t>
      </w:r>
    </w:p>
    <w:p>
      <w:pPr>
        <w:pStyle w:val="TextBody"/>
        <w:bidi w:val="0"/>
        <w:jc w:val="left"/>
        <w:rPr>
          <w:rFonts w:ascii="Times New Roman" w:hAnsi="Times New Roman"/>
          <w:color w:val="000000"/>
          <w:sz w:val="20"/>
        </w:rPr>
      </w:pPr>
      <w:r>
        <w:rPr>
          <w:rFonts w:ascii="Times New Roman" w:hAnsi="Times New Roman"/>
          <w:color w:val="000000"/>
          <w:sz w:val="20"/>
        </w:rPr>
        <w:t>We had an aggregate of approximately $93.9 million principal amount of the Convertible Notes outstanding and held by third parties as of December 31, 2023. 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jc w:val="left"/>
        <w:rPr/>
      </w:pPr>
      <w:r>
        <w:rPr/>
        <w:t>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requiring the dedication of a substantial portion of our cash flow from operations to service our indebtedness, which will reduce the amount of cash available for other purposes;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diluting the interests of our existing stockholders as a result of issuing shares of our common stock in exchange for upon conversion of the Convertible Notes;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Our business may not generate sufficient funds, and we may otherwise be unable to maintain sufficient cash reserves, to pay amounts due under the Convertible Notes, and our cash needs may increase in the future.</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Servicing the Convertible Notes will require a significant amount of cash, and we may not have sufficient cash flow from our business to make payments on the Convertible Notes.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pStyle w:val="TextBody"/>
        <w:bidi w:val="0"/>
        <w:spacing w:before="0" w:after="200"/>
        <w:jc w:val="left"/>
        <w:rPr>
          <w:rFonts w:ascii="Times New Roman" w:hAnsi="Times New Roman"/>
          <w:sz w:val="20"/>
        </w:rPr>
      </w:pPr>
      <w:r>
        <w:rPr>
          <w:rFonts w:ascii="Times New Roman" w:hAnsi="Times New Roman"/>
          <w:b/>
          <w:i/>
          <w:color w:val="000000"/>
          <w:sz w:val="20"/>
        </w:rPr>
        <w:t>We may not have the funds necessary to settle conversions of the Convertible Notes</w:t>
      </w:r>
      <w:r>
        <w:rPr>
          <w:rFonts w:ascii="Times New Roman" w:hAnsi="Times New Roman"/>
          <w:color w:val="000000"/>
          <w:sz w:val="20"/>
        </w:rPr>
        <w:t xml:space="preserve"> </w:t>
      </w:r>
      <w:r>
        <w:rPr>
          <w:rFonts w:ascii="Times New Roman" w:hAnsi="Times New Roman"/>
          <w:b/>
          <w:i/>
          <w:color w:val="000000"/>
          <w:sz w:val="20"/>
        </w:rPr>
        <w:t>in cash or to repurchase the Convertible Notes</w:t>
      </w:r>
      <w:r>
        <w:rPr>
          <w:rFonts w:ascii="Times New Roman" w:hAnsi="Times New Roman"/>
          <w:color w:val="000000"/>
          <w:sz w:val="20"/>
        </w:rPr>
        <w:t xml:space="preserve"> </w:t>
      </w:r>
      <w:r>
        <w:rPr>
          <w:rFonts w:ascii="Times New Roman" w:hAnsi="Times New Roman"/>
          <w:b/>
          <w:i/>
          <w:color w:val="000000"/>
          <w:sz w:val="20"/>
        </w:rPr>
        <w:t>upon a fundamental change, and our future debt may contain limitations on our ability to pay cash upon conversion or repurchase of the Convertible Notes.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Holders of the Convertible Notes have the right to require us to repurchase all or a portion of their Convertible Notes upon the occurrence of a fundamental change at a price equal to the principal amount of the Convertible Notes to be repurchased, plus accrued and unpaid interest. In addition,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Convertible Notes being converted.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Notes or make cash payments upon conversions thereof.</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 conditional conversion feature of the Convertible Notes, if triggered, may adversely affect our financial condition.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In the event a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One of the conditional conversion features of the Convertible Notes has been triggered from time and time at the end of fiscal quarters, including as of December 31, 2023, and a result the Convertible Notes are convertible at the option of the holders, in whole or in part, until March 31, 2024. Whether the Convertible Notes will be convertible in any future period will depend on the satisfaction of this condition or another conversion condition at such time. In addition, even if holders do not elect to convert their Convertible Notes during a period when the notes are convertible, we could be required under applicable accounting rules to reclassify all or a portion of the outstanding principal amount of the Convertible Notes as a current rather than long-term liability, which would result in a material reduction of our net working capital.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expect to issue a notice of full redemption of the $93.9 million of aggregate principal amount of the Convertible Notes on February 27, 2024. We expect that holders will elect to convert their Convertible Notes and that no Convertible Notes will be redeemed for cash. In the event that a holder delivers a conversion notice as provided in the indenture related to the Convertible Notes, we intend to settle conversions by delivering shares of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i/>
          <w:color w:val="000000"/>
          <w:sz w:val="20"/>
        </w:rPr>
        <w:t>We have</w:t>
      </w:r>
      <w:r>
        <w:rPr>
          <w:rFonts w:ascii="Times New Roman" w:hAnsi="Times New Roman"/>
          <w:color w:val="000000"/>
          <w:sz w:val="20"/>
        </w:rPr>
        <w:t xml:space="preserve"> </w:t>
      </w:r>
      <w:r>
        <w:rPr>
          <w:rFonts w:ascii="Times New Roman" w:hAnsi="Times New Roman"/>
          <w:b/>
          <w:i/>
          <w:color w:val="000000"/>
          <w:sz w:val="20"/>
        </w:rPr>
        <w:t>substantial accounts receivable, and any delays in collecting accounts receivable or the failure to collect accounts receivable could have a material adverse effect on our cash flows and results of operations.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Our accounts receivable balance was $206.4 million as of December 31, 2023. While we monitor the financial performance and creditworthiness of our customers and provide reserves against trade receivables for expected credit losses that may result from a customer’s failure to pay, no assurances can be made that we will not experience delays in collecting payments, that we will collect the payments due to us or that our reserves will be sufficient. Any failures to receive cash payments due to us could have a material adverse effect on our results of operations and cash flows.</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the Commercialization and Product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is substantially dependent on the success of SYFOVRE and EMPAVELI and the successful development and commercialization of pegcetacoplan in other jurisdictions and disease indications. If we are unable to successfully commercialize SYFOVRE and EMPAVELI, or develop, obtain marketing approval for or successfully commercialize pegcetacoplan in other indications and jurisdictions, either alone or through a collaboration, or if we experience significant delays in doing so, our business could be harmed.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investing a significant portion of our efforts and financial resources to fund the commercialization of SYFOVRE and EMPAVELI and development of pegcetacoplan in other disease indications and jurisdictions. Our prospects are substantially dependent on our ability to successfully commercialize EMPAVELI in the United States and SYFOVRE worldwide. SYFOVRE is currently only approved in the United States. We cannot be certain that we will be able to obtain regulatory approval for, and successfully commercialize, SYFOVRE in any additional jurisdiction. We are also dependent on the success of pegcetacoplan in clinical development and our ability to obtain additional marketing approvals for pegcetacoplan in one or more other indications. Pursuant to our agreement with Sobi, we have granted to Sobi the exclusive right to commercialize systemic pegcetacoplan outside the United States. Our prospects are dependent on our ability, or that of Sobi or any future collaborator, to successfully commercialize EMPAVELI and to develop, obtain marketing approval for and successfully commercialize systemic pegcetacoplan in additional disease indications. All of our product candidates other than pegcetacoplan are in pre-clinical development.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success of EMPAVELI in PNH, SYFOVRE in GA and pegcetacoplan in other disease indications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of EMPAVELI in the United States and SYFOVRE worldwide, including establishing sales, marketing and distribution capabilities for EMPAVELI and SYFOVRE;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acceptance by patients, the medical community and third-party payors of EMPAVELI in PNH, SYFOVRE in GA, pegcetacoplan in other indications, if approved, and other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recruitment of patients, enrollment in and completion of our ongoing and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and successful recruitment of patients, enrollment in and completion of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tolerability and efficacy profiles that are satisfactory to the FDA, EMA or any comparable foreign regulatory authority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success criteria and endpoints for our clinical trials and otherwise design our clinical trials such that the FDA, EMA, and other regulatory authorities will be able to determine the clinical efficacy and safety profile of any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including approval of SYFOVRE from the EMA;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supply arrangements with third-party suppliers and manufacturers of raw materials and drug intermediates;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arrangements with third-party manufacturers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pegcetacoplan drug product from third-party manufacturers of sufficient quality to be used in our clinical trials and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validating and maintaining a commercially viable manufacturing process that is compliant with current good manufacturing practices, or cGMPs;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Sobi and any future collaborators;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protection of our rights in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launch of commercial sales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these factors are beyond our control, including clinical development, the regulatory submission process, potential threats to our intellectual property rights and the manufacturing, marketing and sales efforts of our collaborators, including Sobi. If we are unable to successfully commercialize EMPAVELI in the United States for PNH, SYFOVRE worldwide for GA, or to develop, receive marketing approval for and successfully commercialize pegcetacoplan in other indications or jurisdictions on our own or with a collaborator, or experience delays as a result of any of these factors or otherwise, our business could be substantially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others may later discover that EMPAVELI or SYFOVRE is less effective than previously believed or causes safety issues</w:t>
      </w:r>
      <w:r>
        <w:rPr>
          <w:rFonts w:ascii="Times New Roman" w:hAnsi="Times New Roman"/>
          <w:color w:val="000000"/>
          <w:sz w:val="20"/>
        </w:rPr>
        <w:t xml:space="preserve"> </w:t>
      </w:r>
      <w:r>
        <w:rPr>
          <w:rFonts w:ascii="Times New Roman" w:hAnsi="Times New Roman"/>
          <w:b/>
          <w:i/>
          <w:color w:val="000000"/>
          <w:sz w:val="20"/>
        </w:rPr>
        <w:t>that were not previously identified, which could compromise our ability, or that of our collaborators, to market the product.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conducted in carefully defined sets of patients who have agreed to enter into clinical trials. Consequently, it is possible that our clinical trials, or those of our collaborators, may indicate an apparent positive effect of a product candidate that is greater than the actual positive effect, if any, or alternatively fail to identify safety issues that may be observed once the product has been commercialized. If safety problems occur or are identified after EMPAVELI or SYFOVRE or one of our products, if any, reaches the market, the FDA or comparable non-U.S. regulatory authorities may require that we amend the labeling of our product, recall our product, or even withdraw approval for our product.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small number of patients treated with SYFOVRE in the real world have experienced retinal vasculitis, a severe form of intraocular inflammation. All suspected retinal vasculitis events reported to us are independently evaluated and adjudicated by two external sources: a panel of four retina/uveitis experts and an independent reading center as well as our internal safety and medical teams. We continue to work with the retinal community to investigate potential contributing factors. We plan to continue to submit all adverse events reported to us to the FDA consistent with reporting guidelines for drug manufacturers.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cannot provide any assurances that the FDA and the retinal community will believe that the expected benefits of SYFOVRE treatment outweigh its potential risks to patients in light of these reported events or other events that might arise or that our applications for marketing approval of SYFOVRE in other jurisdictions will not be adversely impacted by these events. A change in the perception of the benefit/risk profile of SYFOVRE may reduce market acceptance of the product and our product revenues may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following approval of a product candidate, we, or others, discover that the product is less effective than previously believed or causes safety issues that were not previously identified, such as the reported events of retinal vasculitis following SYFOVRE treatment, any of the following events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target patient population may be less willing to try, and physicians may be less willing to prescribe,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 of the product or seize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required to recall the product, change the way the product is administered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or the manufacturing processes for, the particular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fines, injunctions or the imposition of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required to create a Medication Guide outlining the risks of the previously unidentified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jc w:val="left"/>
        <w:rPr>
          <w:rFonts w:ascii="Times New Roman" w:hAnsi="Times New Roman"/>
          <w:color w:val="000000"/>
          <w:sz w:val="20"/>
        </w:rPr>
      </w:pPr>
      <w:r>
        <w:rPr>
          <w:rFonts w:ascii="Times New Roman" w:hAnsi="Times New Roman"/>
          <w:color w:val="000000"/>
          <w:sz w:val="20"/>
        </w:rPr>
        <w:t>Any of these events could harm our business and operations, affect sales of our products and negatively impact our stock price.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fail to achieve the degree of market acceptance by physicians, patients, third-party payors and others in the medical community necessary for commercial success, of EMPAVELI or SYFOVRE, in which case we may not generate significant revenues or become profitable, and the market opportunity for these products may be smaller than we estimate.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fail to gain sufficient market acceptance by physicians, patients, third-party payors and others in the medical community necessary for commercial success of EMPAVELI or SYFOVRE.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key part of our commercial strategy for EMPAVELI is targeting at switching patients from treatment with eculizumab or ravulizumab to EMPAVELI.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products and product candidates may require significant resources and may not be successful. If EMPAVELI, SYFOVRE, or any of our product candidates for which we obtain marketing approval do achieve an adequate level of market acceptance, we may not generate significant revenues and we may not become profitable. The degree of market acceptance of EMPAVELI, SYFOVRE, or our other product candidates for which we obtain marketing approval,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advantages of the product compared to competitive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product is designated under physician treatment guidelines as a first-, second- or third-line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at which the product is offered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product’s 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and of physicians to prescribe,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including distribution or use restrictions contained in the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sales,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products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approved products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about the product or favorable publicity about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for the targeted indications for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amount of coverage and reimbursement from government payors, managed care plans and other third-party payors.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potential market opportunity for EMPAVELI in PNH, SYFOVRE in GA, or in any other indication is difficult to precisely estimate. Our estimates of the potential market opportunity for EMPAVELI in PNH, SYFOVRE in GA, or in other indications include several key assumptions based on our industry knowledge, industry publications, third-party research reports and other surveys. However, no independent source has verified such assumptions. If any of these assumptions proves to be inaccurate, then the actual market for EMPAVELI in PNH, SYFOVRE in GA, or any other indication could be smaller than our estimates of potential market opportunity. If the actual market for EMPAVELI in PNH, SYFOVRE in GA, in other indications is smaller than we expect, our product revenue may be limited, and it may be more difficult for us to achieve or maintain profitability.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products is highly competitive, as described in “Business - Competition,” above. We face significant competition with respect to each of EMPAVELI and SYFOVRE. We expect that we, and our collaborators, will face significant competition from major pharmaceutical companies, specialty pharmaceutical companies and biotechnology companies worldwide with respect to any of our product candidates that we, or our collaborators, may seek to develop or commercialize in the future, including from therapies that act through the complement system and therapies that use different approaches.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competitors may succeed in developing, acquiring or licensing technologies and products that are more effective, have fewer side effects or more tolerable side effects or are less costly than EMPAVELI, SYFOVRE, or any product candidates that we are currently developing or that we may develop, which could render EMPAVELI, SYFOVRE, or our product candidates obsolete and noncompetitive.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EMPAVELI targets a market that is already served by a competitor with significantly greater financial resources than us. The principal competitors for EMPAVELI for the treatment of PNH, are eculizumab (marketed as Soliris) and ravulizumab (marketed as Ultomiris), C5 inhibitors developed and marketed by Alexion AstraZeneca Rare Disease, or AstraZeneca. Furthermore, in December 2023, the FDA approved iptacopan (marketed as Fabhalta), an orally administered factor B inhibitor developed by Novartis, for the treatment of PNH. This product may have a competitive advantage if prescribers and patients prefer to utilize an oral medication rather than an injected medication. Prior to the approval of EMPAVELI, eculizumab and ravulizumab were the only drugs approved for the treatment of PNH. These products have widespread acceptance among clinicians, patients and payors. Eculizumab and ravulizumab may also compete with EMPAVELI in other indications in our systemic programs. In 2022, AstraZeneca also obtained approval for a subcutaneous version of ravulizumab, currently in phase 3 clinical trial.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SYFOVRE was the first approved product in the United States for the treatment of GA. In August 2023, the FDA approved avacincaptad pegol (marketed as Izervay), a complement C5 inhibitor developed by Astellas Pharma Inc., for the treatment of GA.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marketing approval for their products before we, or our collaborators, are able to obtain approval for ours, which could result in our competitors establishing a strong market position before we, or our collaborators, are able to enter the market.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the development of our product candidates.</w:t>
      </w:r>
    </w:p>
    <w:p>
      <w:pPr>
        <w:pStyle w:val="TextBody"/>
        <w:bidi w:val="0"/>
        <w:jc w:val="left"/>
        <w:rPr>
          <w:rFonts w:ascii="Times New Roman" w:hAnsi="Times New Roman"/>
          <w:sz w:val="20"/>
        </w:rPr>
      </w:pPr>
      <w:r>
        <w:rPr>
          <w:rFonts w:ascii="Times New Roman" w:hAnsi="Times New Roman"/>
          <w:b/>
          <w:i/>
          <w:color w:val="000000"/>
          <w:sz w:val="20"/>
        </w:rPr>
        <w:t>If clinical trials of our product candidates fail to satisfactorily demonstrate safety and efficacy to the FDA and other regulators, we, may incur additional costs or experience delays in completing, or ultimately be unable to complete, the development and commercialization of these product candidates.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United States without obtaining marketing approval from the FDA. Foreign regulatory authorities, such as the EMA, impose similar requirements. We have received approval for SYFOVRE for the treatment of patients with GA in the United States, but there is no assurance that we will receive regulatory approvals for SYFOVRE for the treatment of GA in other jurisdictions. For example, in January 2024, the CHMP of the EMA adopted a negative opinion on the MAA for SYFOVRE in the European Union. While we are seeking re-examination of the MAA, we cannot be certain that such re-examination will be successful, and we may be required to conduct additional clinical trials of SYFOVRE in order to obtain marketing approval in the European Union. Because regulators in other jurisdictions, including those in the Access Consortium countries (including the United Kingdom, Switzerland, Australia and Canada) are influenced by decisions of the FDA and the EMA, negative opinion by the FDA or the EMA may adversely impact the prospects for approval in other jurisdictions. We have received approval for EMPAVELI for the treatment of patients with PNH in several jurisdictions, but there is no assurance that we will receive regulatory approvals for EMPAVELI in other indications.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Clinical testing is expensive, is difficult to design and implement, can take many years to complete and is inherently uncertain as to outcome. We cannot guarantee that any clinical trials will be conducted as planned or completed on schedule, if at all. The clinical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or intolerability caused by our product candidates, or mistakenly believe that our product candidates are toxic or not well tolerated when that is not in fact the case. Many companies in the pharmaceutical and biotechnology industries have suffered significant setbacks in late-stage clinical trials after achieving positive results in earlier development, and we cannot be certain that we will not face additional setbacks. It is possible that any of our development programs may be placed on full or partial clinical hold by regulatory authorities at any point, which would delay and possibly prevent further development of our product candidates.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inability to successfully complete preclinical and clinical development could result in additional costs to us and impair our ability to generate revenues from product sales, regulatory and commercialization milestones, and royalties. Moreover, if we are required to conduct additional clinical trials or other testing of our product candidates beyond the trials and testing that we contemplate, if we are unable to successfully complete clinical trials of our product candidates or other testing or the results of these trials or tests are unfavorable, uncertain or are only modestly favorable, or there are unacceptable safety concerns associated with our product candidates,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unplanned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delayed in obtaining marketing approval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significant safety warnings,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additional post-marketing testing or other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required to remove the product from the market after obtaining marketing approval.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our collaboration with Sobi, we are relying on Sobi to conduct certain clinical trials of systemic pegcetacoplan and seek regulatory approval for systemic pegcetacoplan outside the United States. If Sobi or any future collaborator are unable to successfully complete clinical trials of our product candidates and obtain regulatory approvals on a timely basis, or at all, our ability to generate revenues from product sales, regulatory and commercialization milestones and royalties may be materially impaired.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investigators for our clinical trials and other service providers may serve as scientific advisors or consultants to us from time to time and receive compensation in connection with such services, including equity awards and option grants, and may have other financial interests in our company. We are required to collect and provide financial disclosure notifications or certifications for our clinical investigators to the FDA. If the FDA concludes that a financial relationship between us and a clinical investigator has created a conflict of interest or otherwise affected interpretation of the trial, the FDA may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product candidates.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failure to successfully complete clinical trials of our product candidates and to demonstrate the efficacy and safety necessary to obtain regulatory approval to market any of our product candidates would significantly harm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Adverse events or undesirable side effects caused by, or other unexpected properties of, any of our product candidates may be identified during clinical development that could delay or prevent their marketing approval or limit their use.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Adverse events or undesirable side effects caused by, or other unexpected properties of, our product candidates could cause us, or any collaborator conducting clinical trials of our product candidates such as Sobi,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pegcetacoplan has immunosuppressive effects and, in some cases, may be administered to patients with underlying significantly compromised health. Administration of our product candidates could make patients more susceptible to infection.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our Phase 3 trials of pegcetacoplan in patients with GA, the most common adverse reactions (≥ 5%) reported in patients receiving SYFOVRE were ocular discomfort, neovascular AMD, vitreous floaters, and conjunctival hemorrhage. Rates of ischemic optic neuropathy events were higher in the monthly group as compared to the every-other-month and sham groups. The rate and severity of endophthalmitis and intraocular inflammation were generally in line with reported studies of other intravitreal therapies. </w:t>
      </w:r>
    </w:p>
    <w:p>
      <w:pPr>
        <w:pStyle w:val="TextBody"/>
        <w:bidi w:val="0"/>
        <w:spacing w:before="200" w:after="283"/>
        <w:jc w:val="left"/>
        <w:rPr>
          <w:rFonts w:ascii="Times New Roman" w:hAnsi="Times New Roman"/>
          <w:sz w:val="20"/>
        </w:rPr>
      </w:pPr>
      <w:r>
        <w:rPr>
          <w:rFonts w:ascii="Times New Roman" w:hAnsi="Times New Roman"/>
          <w:color w:val="000000"/>
          <w:sz w:val="20"/>
        </w:rPr>
        <w:t>If any of our product candidates is associated with adverse events or undesirable side effects or has properties that are unexpected, we, or our collaborators, may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clinical trials by their nature utilize a sample of the potential patient population. However, with a limited number of subjects and limited duration of exposure, rare and severe side effects of our product candidates may only be uncovered when a significantly larger number of patients are exposed to the product.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or any collaborator conducting clinical trials of any of our product candidates such as Sobi, experience any of a number of possible unforeseen events in connection with clinical trials of our product candidates, potential clinical development, marketing approval or commercialization of our product candidates could be delayed or prevented.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or our collaborators, may experience numerous unforeseen events during, or as a result of, clinical trials that could delay or prevent clinical development, marketing approval or commercialization of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may produce unfavorable or inconclusive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decide, or regulators may require us or them,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or our collaborators, anticipate, patient enrollment in these clinical trials may be slower than we, or our collaborators, anticipate or participants may drop out of these clinical trials at a higher rate than we, or our collaborators,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planned clinical trials of our product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or those of our collaborators, including those manufacturing our product candidates or components or ingredients thereof or conducting clinical trials on our behalf or on behalf of our collaborators, may deviate from the trial protocol, fail to comply with regulatory requirements or fail to meet their contractual obligations to us or our collaborators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may not authorize us, our collaborators or our or their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have delays in reaching or fail to reach agreement on acceptable clinical trial contracts or clinical trial protocols with prospective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may require that we, or our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or our collaborators’, clinical trial designs or our or their interpretation of data from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or subsequently find fault with the manufacturing processes or facilities of third-party manufacturers with which we, or our collaborators, enter into agreements for clinical and commercial supplies;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raw materials, drug intermediates or manufactured product candidates, other products evaluated in our clinical trials or other materials necessary to conduct clinical trials of our product candidates may be insufficient, inadequate or not available at an acceptable cost, or we may experience interruptions in supply;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to obtain marketing approval.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our collaborators, may have the exclusive right to commercialize our product candidates or allow our competitors, or the competitors of our collaborators, to bring products to market before we, or our collaborators, do and impair our ability, or the ability of our collaborators, to successfully commercialize our product candidates and may harm our business and results of operations. In addition, many of the factors that lead to clinical trial delays may ultimately lead to the denial of marketing approval of any of our product candidates.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or any collaborator conducting clinical trials of any of our product candidates such as Sobi, experience delays or difficulties in the enrollment of patients in clinical trials, our or their receipt of necessary regulatory approvals could be delayed or prevented.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or our collaborators, may not be able to initiate or continue clinical trials for any of our product candidates if we, or they, are unable to locate and enroll a sufficient number of eligible patients to participate in clinical trials as required by the FDA or comparable foreign regulatory authorities. Patient enrollment is a significant factor in the timing of clinical trials, and is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eligibility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and risks of the drug being studied in relation to other available therapies, including any new drugs that may be approved for the indications we are investigating.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example, in January 2024, we and Sobi agreed to cease clinical development of systemic pegcetacoplan for patients with CAD due to the decreased medical need in CAD and the limited number of patients eligible for the CASCADE trial.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Many of the indications for which we are developing product candidates are rare diseases with small patient populations, and many of those patients are treated with other therapies or products. Further, there are only a limited number of specialist physicians that regularly treat patients with these rare diseases and major clinical centers that support such treatment are concentrated in a few geographic regions. In addition, other companies are conducting clinical trials and have announced plans for future clinical trials that are seeking, or are likely to seek, to enroll patients with these rare diseases and patients are generally only able to enroll in a single trial at a time. Both patients and their physicians may be reluctant to forgo, discontinue or otherwise alter existing, approved life-saving therapeutic approaches. Given the severe and life-threatening nature of these indications and the expectation that many patients will be on treatment with other therapies or products, we may encounter difficulty in recruiting a sufficient number of patients for our trials including in particular our planned clinical trials. The small population of patients, competition for these patients, the nature of the disease and limited trial sites may make it difficult for us to enroll enough patients to complete our clinical trials of pegcetacoplan in a timely and cost-effective manner.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inability, or the inability of our collaborators, to enroll a sufficient number of patients for our, or their, clinical trials could result in significant delays or may require us or them to abandon one or more clinical trials altogether. Enrollment delays in our, or their, clinical trials may result in increased development costs for our product candidates, delay or halt the development of and approval processes for our product candidates and jeopardize our, or our collaborators’, ability to commence sales of and generate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revenues from our product candidates, which could cause the value of our company to decline and limit our ability to obtain additional financing, if needed.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Results of preclinical studies and Phase 1 and Phase 2 clinical trials may not be predictive of results of later clinical trials and</w:t>
      </w:r>
      <w:r>
        <w:rPr>
          <w:rFonts w:ascii="Times New Roman" w:hAnsi="Times New Roman"/>
          <w:color w:val="000000"/>
          <w:sz w:val="20"/>
        </w:rPr>
        <w:t xml:space="preserve"> </w:t>
      </w:r>
      <w:r>
        <w:rPr>
          <w:rFonts w:ascii="Times New Roman" w:hAnsi="Times New Roman"/>
          <w:b/>
          <w:i/>
          <w:color w:val="000000"/>
          <w:sz w:val="20"/>
        </w:rPr>
        <w:t>preliminary or interim results of clinical trials do not necessarily predict final results.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outcome of preclinical studies and Phase 1 and Phase 2 clinical trials may not be predictive of the success of later clinical trials, and preliminary or interim results of clinical trials do not necessarily predict final results. Many companies in the pharmaceutical and biotechnology industries have suffered significant setbacks in late-stage clinical trials after achieving positive results in earlier stages of clinical development, and we could face similar setbacks. Similarly, the design of a clinical trial can determine whether its results will support approval of a product and flaws in the design of a clinical trial may not become apparent until the clinical trial is well advanced.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our collaborators, believe that the results of clinical trials for our product candidates warrant marketing approval, the FDA or comparable foreign regulatory authorities may disagree and may not grant marketing approval of our product candidates.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pStyle w:val="TextBody"/>
        <w:bidi w:val="0"/>
        <w:jc w:val="left"/>
        <w:rPr>
          <w:rFonts w:ascii="Times New Roman" w:hAnsi="Times New Roman"/>
          <w:sz w:val="20"/>
        </w:rPr>
      </w:pPr>
      <w:r>
        <w:rPr>
          <w:rFonts w:ascii="Times New Roman" w:hAnsi="Times New Roman"/>
          <w:b/>
          <w:i/>
          <w:color w:val="000000"/>
          <w:sz w:val="20"/>
        </w:rPr>
        <w:t>If we fail to develop and commercialize other product candidates, we may be unable to grow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Although the development and commercialization of pegcetacoplan is our primary focus, as part of our growth strategy, we are developing a pipeline of product candidates for the treatment of complement-dependent diseases. These other product candidates will require additional, time-consuming and costly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the commercial launch of EMPAVELI in the United States for PNH and of SYFOVRE in the United States for GA, for each of which we recruited a sales force and established marketing, market access and medical affairs teams and distribution capabilities is not successful for any reason, we could incur substantial costs and our investment would be lost if we cannot retain or reposition our sales, marketing, market access and medical affairs personnel.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achieve commercial success for EMPAVELI and SYFOVRE, we have expended and anticipate that we will continue to expend significant resources to support our sales force, marketing, market access and medical affairs teams and distribution capabilities. There are risks involved with establishing our own sales, marketing, distribution, training and support capabilities. For example, recruiting and training sales and marketing personnel is expensive and time consuming and could delay our ability to focus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other priorities. If the commercial launch of EMPAVELI or SYFOVRE is not successful for any reason, this would be costly, and our investment would be lost if we cannot retain or reposition our sales, marketing, market access and medical affairs personnel or terminate on favorable terms any agreements entered into with third parties to support our commercialization efforts.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Factors that may inhibit our efforts to commercialize EMPAVELI or SYFOVRE on our own in the United States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train and retain adequate numbers of effective sales, marketing, training and support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including key opinion leaders, or to educate an adequate number of physicians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of EMPAVELI or SYFOVRE over alternative treatment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extensive or integrated product offerings;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establishing and maintaining an independent sales, marketing, training and support 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our salesforce, marketing, market access and medical affairs teams and distribution capabilities fail, or are otherwise unsuccessful, it would materially adversely impact the commercial launch of EMPAVELI or SYFOVRE, impact our ability to generate revenue and harm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establish sales, marketing and distribution capabilities or enter into sales, marketing and distribution arrangements with third parties, we may not be successful in commercializing EMPAVELI, SYFOVRE, pegcetacoplan in other indications or any of our other product candidates for which we obtain marketing approval.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built a sales, marketing and distribution infrastructure in the United States to support commercialization of EMPAVELI and SYFOVRE.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building focused capabilities to commercialize SYFOVRE in GA and EMPAVELI in PNH and other indications where we believe that the medical specialists for such indications are sufficiently concentrated to allow us to effectively promote the product with a targeted sales team. The development of sales, marketing and distribution capabilities requires substantial resources, is time-consuming and could delay any product launch.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certain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do not establish sales, marketing and distribution capabilities, either on our own or in collaboration with third parties, we will not be successful in commercializing EMPAVELI, SYFOVRE, or our other product candidates that receive marketing approval.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granted exclusive commercialization rights for systemic pegcetacoplan outside of the United States to Sobi under our agreement with Sobi. If Sobi is unable to meet its contractual obligations, we may be forced to focus our efforts internally to commercialize systemic pegcetacoplan outside of the United States without the assistance of a commercialization partner or seek another commercialization partner, either of which would result in us incurring greater expenses and could cause a delay in market penetration while we expand our commercial operations or seek an alternative commercialization partner. Such costs may exceed the increased revenues we would receive from direct systemic pegcetacoplan sales outside of the United States, at least in the near term. We would also be forced to declare a breach of the agreement with Sobi and seek a termination of the agreement which could result in an extended and uncertain dispute with Sobi, including arbitration or litigation, any of which would be costly.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an ANDA in the United States. In support of an abbreviated new drug application, or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Competition that our products may face from generic versions of our products could negatively impact our future revenue, profitability and cash flows and substantially limit our ability to obtain a return on our investments in those product candidates.</w:t>
      </w:r>
    </w:p>
    <w:p>
      <w:pPr>
        <w:pStyle w:val="TextBody"/>
        <w:bidi w:val="0"/>
        <w:jc w:val="left"/>
        <w:rPr>
          <w:rFonts w:ascii="Times New Roman" w:hAnsi="Times New Roman"/>
          <w:b/>
          <w:i/>
          <w:color w:val="000000"/>
          <w:sz w:val="20"/>
        </w:rPr>
      </w:pPr>
      <w:r>
        <w:rPr>
          <w:rFonts w:ascii="Times New Roman" w:hAnsi="Times New Roman"/>
          <w:b/>
          <w:i/>
          <w:color w:val="000000"/>
          <w:sz w:val="20"/>
        </w:rPr>
        <w:t>EMPAVELI, SYFOVRE, or any product candidate that we or any collaborator, such as Sobi, commercialize may become subject to unfavorable pricing regulations, third-party payor reimbursement practices or healthcare reform initiatives, any of which could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commercial success of EMPAVELI, SYFOVRE, or any our product candidates that we or any collaborator, such as Sobi, commercialize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our collaborators, may not be able to successfully commercialize EMPAVELI, SYFOVRE, or any other product candidates. Even if coverage is provided, the approved reimbursement amount may not be high enough to allow us, or our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drugs. 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To obtain reimbursement or pricing approval in some countries, we may be required to conduct a clinical trial that compares the cost-effectiveness of our product or product candidate to other available therapies. Adverse pricing limitations may hinder our ability or the ability of our collaborators to recoup our or their investment in one or more products or product candidates, even if our product candidates obtain marketing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Patients who are provided medical treatment for their conditions generally rely on third-party payors to reimburse all or part of the costs associated with their treatment. Therefore, our ability, and the ability of our collaborators, to commercialize EMPAVELI, SYFOVRE, or any of our product candidates will depend in part on the extent to which coverage and reimbursement for these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products and related treatments will be available from third-party payors. Third-party payors decide which medications they will cover and establish reimbursement levels. The healthcare industry is acutely focused on cost containment, both in the United States and abroad. Government authorities and other third-party payors have attempted to control costs by limiting coverage and the amount of reimbursement for particular medications, which could affect our ability or that of our collaborators to sell EMPAVELI, SYFOVRE, or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Cost-control initiatives could cause us, or our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commercial potential of our products depends in part on reimbursement by government health administration authorities, private health insurers and other organizations. If we, or any collaborator that is commercializing our product candidates such as Sobi are unable to obtain coverage or reimbursement for our products, as monotherapy or in combination with other therapies, including possible combinations with eculizumab or ravulizumab, at the levels anticipated, our financial condition could be harmed. Additionally, if new compounds currently in development by potential competitors, including biosimilars of eculizumab or ravulizumab, obtain marketing approval, there may be downward pressure on reimbursement levels for therapies in our target disease areas, which could have a negative impact on our ability to achieve and maintain profitability.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may also be delays in obtaining coverage and reimbursement for newly approved drugs, such as EMPAVELI, SYFOVRE, and coverage may be more limited for EMPAVELI and SYFOVRE than the indication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increasingly, third-party payors are requiring higher levels of evidence of the benefits and clinical outcomes of new technologies and are challenging the prices charged. We cannot be sure that coverage will be available for any product candidate that we, or any collaborator, including Sobi,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our collaborator, obtain marketing approval could significantly harm our operating results, our ability to raise capital needed to commercialize products and our overall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liability lawsuits against us could divert our resources, cause us to incur substantial liabilities and limit commercialization of EMPAVELI, SYFOVRE, and any other products that we may develop.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claims as a result of the commercial sale of EMPAVELI and SYFOVRE, and the clinical testing of our product candidates despite obtaining appropriate informed consents from our clinical trial participants.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EMPAVELI, SYFOVRE, and any other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costs to defend resulting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resources of our management to pursue our business strategy;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successfully commercialize EMPAVELI, SYFOVRE, or any other products that we may develop.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maintain product liability and clinical trial insurance coverage in the amount of up to $50.0 million in the aggregate, this insurance may not fully cover potential liabilities that we may incur. The cost of any litigation or other proceeding, even if resolved in our favor, could be substantial. We may need to increase our insurance coverage as we continue to commercialize EMPAVELI, SYFOVRE, and commercialize any other product candidate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EMPAVELI, SYFOVRE, and our other product candidates, which could harm our business, financial condition, results of operations and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internal information technology systems, or those of any contractors, consultants, vendors, business partners or other third parties, may fail or suffer security breaches,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dependent upon information technology systems, infrastructure and data to operate our business. In the ordinary course of business, we collect, store and transmit large amounts of confidential information, including personal information and information relating to intellectual property, on internal information systems and through the information systems of our contractors, consultants, vendors, business partners or other third parties. It is critical that we, our vendors, collaborators or other contractors or consultants, do so in a secure manner to maintain the availability, security, confidentiality, privacy and integrity of such confidential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Despite the implementation of security measures, our internal information technology systems and those of third parties are vulnerable to damage from computer viruses, malware, computer hackers, malicious code, employee error, theft or misuse, denial-of-service attacks, sophisticated nation-state supported actors, unauthorized access, natural disasters, terrorism, war and telecommunication and electrical failures. Such systems are also vulnerable to service interruptions or to security breaches from inadvertent or intentional actions by our employees, our collaborators, contractors, consultants, vendors, business partners and other third parties, or from cyber-attacks by malicious third parties over the Internet or through other mechanisms. Cyber-attacks are increasing in their frequency, sophistication and intensity, and have become increasingly difficult to detect. Cyber-attacks could include the deployment of harmful malware, ransomware, denial of service attacks, unauthorized access to or deletion of files,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cannot guarantee that the measures we have taken to date, and actions we may take in the future, will be sufficient to prevent any future breaches.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While we have not experienced any such material system failure, accident, cyber-attack or security breach to date, if such an event were to occur and cause interruptions in our operations, it could result in a material disruption of our development programs, clinical trials and business operations, whether due to a loss of our trade secrets or other proprietary or confidential information or other similar disruptions, in addition to possibly requiring substantial expenditures of resources to remedy. For example, the loss of clinical trial data from clinical trials could result in delays or termination of our regulatory approval efforts and significantly increase our costs to recover or reproduce the data. In addition, as risks with respect to our information systems continue to evolve, we will incur additional costs to maintain the security of our information systems and comply with evolving laws and regulations pertaining to cybersecurity and related areas.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enrollment in our clinical trials could be negatively affected, our competitive position and reputation could be harmed 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Any of the above could have a material adverse effect on our business, financial condition, results of operations or prospects.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financial exposure from the events referenced above could either not be insured against or not be fully covered through any insurance that we maintain and could have a material adverse effect on our business, financial condition, results of operations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We rely on third parties to conduct our clinical trials. If they do not perform satisfactorily, our business could be harmed.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do not independently conduct clinical trials of our product candidates. We rely, and expect to continue to rely, on third parties, such as contract research organizations, clinical data management organizations, medical institutions and clinical investigators, to conduct our clinical trials of pegcetacoplan and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In addition, these contractors may be adversely affected by the COVID-19 pandemic. If these third parties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contract with third parties for the manufacture, storage and distribution of commercial supply for EMPAVELI, SYFOVRE, and clinical supply for our product candidates and expect to continue to do so in connection with our future development and commercialization efforts. This reliance on third parties increases the risk that we will not have sufficient quantities of pegcetacoplan or our other product candidates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currently have no manufacturing facilities, and a relatively small number of personnel with manufacturing experience who can oversee the manufacturing process. We rely on contract manufacturers to manufacture, store and distribute both drug substance and drug product required for our clinical trials. We also rely upon contract manufacturers, and potentially collaboration partners to manufacture commercial quantities of EMPAVELI, SYFOVRE, and any of our other product candidates, if approved. We may be unable to establish any agreements with contract manufacturers or to do so on acceptable terms, or to maintain such agreements as we may enter. Even if we are able to establish agreements with contract manufacturers, reliance on contract manufacturers entails additional risks, including: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manufacturing delays if our third-party contractors give greater priority to the supply of other products over EMPAVELI, SYFOVRE, or our product candidates or otherwise do not satisfactorily perform according to the terms of the agreements between us and them, or if unforeseen events in the manufacturing process arise;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possible termination or nonrenewal of agreements by our third-party contractors at a time that is costly or inconvenient for us;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possible breach by the third-party contractors of our agreements with them;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failure of third-party contractors to comply with applicable regulatory requirements;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possible mislabeling of clinical supplies, potentially resulting in the wrong dose amounts being supplied or active drug or placebo not being properly identified;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possibility of clinical supplies not being delivered to clinical sites on time, leading to clinical trial interruptions, or of drug supplies not being distributed to commercial vendors in a timely manner, resulting in lost sales; 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currently rely, and expect to continue to rely, on a small number of third-party contract manufacturers to supply most of our supply of active pharmaceutical ingredients and required finished product for our commercial supply of EMPAVELI and SYFOVRE and for our clinical supply of our product candidates. In particular, we have entered into commercial supply agreements with Bachem and NOF to purchase a significant portion of our requirements for the pegcetacoplan drug substance and drug intermediaries, respectively, over the next five years. We have also entered into long-term commercial supply agreements with other suppliers of raw materials, drug intermediaries, drug substance and drug product. We also have a separate supply agreement for the manufacture of the drug product for each of EMPAVELI and SYFOVRE. If any of our existing manufacturers should become unavailable to us for any reason, we may incur delays in identifying or qualifying replacements. We also rely on other third parties to store and distribute drug supplies for our clinical trials. Any performance failure on the part of our contract manufacturers or distributors could delay clinical development or marketing approval of our product candidates or commercialization of any resulting products, producing additional losses and depriving us of potential product revenue. For example, in the past we experienced issues associated with the manufacturing process for pegcetacoplan that resulted in delays in the supply of pegcetacoplan. These delays resulted in us incurring additional costs and delays in our PNH development program. Additionally, in October 2018, we announced that we voluntarily implemented a pause in dosing in our clinical trials in patients with GA and wet AMD due to observed cases of non-infectious inflammation in patients treated from a single manufacturing lot of pegcetacoplan ophthalmological drug product that we believe occurred due to </w:t>
      </w:r>
      <w:r>
        <w:rPr>
          <w:rFonts w:ascii="Times New Roman" w:hAnsi="Times New Roman"/>
          <w:color w:val="111111"/>
          <w:sz w:val="20"/>
        </w:rPr>
        <w:t>an impurity in the active pharmaceutical ingredient</w:t>
      </w:r>
      <w:r>
        <w:rPr>
          <w:rFonts w:ascii="Times New Roman" w:hAnsi="Times New Roman"/>
          <w:color w:val="000000"/>
          <w:sz w:val="20"/>
        </w:rPr>
        <w:t>. If we experience other issues or delays in the future, our commercial success may be materially and adversely impacted and our development of pegcetacoplan may be materially delayed, and our business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manufacturing problem, the loss of a contract manufacturer or any loss of storage could be disruptive to our operations, result in lost sales of EMPAVELI and/or SYFOVRE or delay our clinical trials. Accordingly, for example, if Bachem or NOF were to experience manufacturing and supply issues, we would have difficulty in procuring the drug substance or drug intermediates needed for the supply and manufacture of pegcetacoplan. Additionally, we rely on third parties to supply the raw materials needed to manufacture our product candidates. Any reliance on suppliers may involve several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For EMPAVELI, SYFOVRE, and any product candidates that are approved by any regulatory agency, we will need to maintain agreements with third-party contract manufacturers for the commercial production and distribution of those products. It may be difficult for us to reach agreement with a contract manufacturer on satisfactory terms or in a timely manner. In addition, we may face competition for access to manufacturing facilities as there are a limited number of contract manufacturers operating under cGMPs that can manufacture our product candidates. Consequently, we may not be able to reach agreement with third-party manufacturers on satisfactory terms, which could delay our commercialization efforts.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Third-party manufacturers are required to comply with cGMPs and similar regulatory requirements outside the United States, such as the ICH. Facilities used by our third-party manufacturers must be approved by the FDA after we submit an NDA and before 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may not be able to meet our supply requirements for clinical and commercial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and to secure the applicable approval for their manufacturing facilities. If these facilities are not approved for commercial manufacture, we may need to find alternative manufacturing facilities, which could result in delays in obtaining approval for the applicable product candidate.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developed the EMPAVELI injector, a custom, on-body drug delivery system that would enable patients to self-administer pegcetacoplan through subcutaneous infusion. While the EMPAVELI injector was in development, we used one or more commercially available ambulatory infusion pumps in our ongoing and planned clinical trials and for our commercial launch of EMPAVELI and SYFOVRE. If the EMPAVELI injector becomes unavailable, we may need to rely upon commercially available ambulatory infusion pumps. Any reliance on third-party infusion pumps may involve several risks, including reduced control over costs, delivery schedules, reliability and quality.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EMPAVELI, SYFOVRE, or our product candidates may harm our future profit margins and our ability to commercialize EMPAVELI, SYFOVRE, or any other products that receive marketing approval on a timely and competitive basis.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prospects for the development and commercialization of our product candidates will depend in part on the success of our collaboration with Sobi and future collaborations.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entered into a collaboration with Sobi for the global co-development and commercialization outside of the United States of systemic pegcetacoplan and we may seek to enter into additional collaborations for the development and commercialization of certain of our products or product candidates. We may have limited control over the amount and timing of resources that our collaborators, including Sobi, will dedicate to the development or commercialization of our product candidates. Our ability to generate revenues from these arrangements will depend on our collaborators’ abilities to successfully perform the functions assigned to them in these arrangements. In addition, our collaborators may have the right to abandon research or development projects and terminate applicable agreements, including funding obligations, prior to or upon the expiration of the agreed upon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pose a number of risks,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products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regarding ownership of or other rights in the intellectual property generated in the course of the collaborations;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example, our agreement with Sobi is subject to early termination in the event of any uncured material breach of the agreement or under specific circumstances relating to insolvency. If we do not maintain a productive collaborative relationship with Sobi or if Sobi is unable to meet its contractual obligations or if there is an early termination of the agreement as described above, we would be forced to either establish a commercial infrastructure outside of the United States so that we could undertake the commercialization efforts which had been theretofore undertaken by Sobi or we would need to seek an alternative collaborator. The establishment of a commercial infrastructure and assumption by us of commercialization activities outside of the United States would require substantial resources, financial and otherwise, and could result in us incurring greater expenses than the increase in revenues from our direct sales of systemic pegcetacoplan. It could also cause a delay in market penetration while we expand our commercial operations. Seeking and obtaining an alternative collaborator outside the United States could also adversely impact sales of systemic pegcetacoplan and market penetration outside of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If our collaborators, including Sobi are involved in a business combination, it could decide to delay, diminish or terminate the development or commercialization of any product candidate licensed to it by us.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in the past established, and in the future,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entered into the collaboration agreement with Sobi in October 2020 concerning the development and commercialization of pegcetacoplan and specified other structurally and functionally similar compstatin analogues or derivatives for use systemically or for local non-ophthalmic administration. We may seek to establish one or more additional collaborators for the development and commercialization of one or more of our product candidates. Likely collaborators may include large and mid-size pharmaceutical companies, regional and national pharmaceutical companies and biotechnology companies. In addition, if we are able to obtain marketing approval for product candidates from foreign regulatory authorities, we intend to enter into strategic relationships with international biotechnology or pharmaceutical companies for the commercialization of such product candidates outside of the United States.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Collaborations are complex and time-consuming to negotiate and document. Further, there have been a significant number of recent business combinations among large pharmaceutical companies that have resulted in a reduced number of potential future collaborators.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collaboration agreements that we enter into in the future may contain restrictions on our ability to enter into potential collaborations or to otherwise develop specified product candidates.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program or one or more of our other development programs, delay its potential commercialization or reduce the scope of any sales or marketing activities, or increase our expenditures and undertake development or commercialization activities at our own expense. </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If we fail to comply with our obligations under our existing and any future intellectual property licenses with third parties, we could lose license rights that are important to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 party to patent license agreements with The University of Pennsylvania, or Penn, under which we license patent rights relating to a family of compounds for use in all fields. The licensed patent rights include issued U.S. and foreign patents with claims that recite a class of compounds generically covering pegcetacoplan and that specifically recite the active component. We may enter into additional license agreements in the future. Our license agreements with Penn impose, and we expect that future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product candidates that 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or any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Moreover, in some circumstances, we might not have the right to control the preparation, filing and prosecution of patent applications, or to maintain the patents, covering any technology that we may license from third parties in the future. These patents and applications may not be prosecuted and enforced in a manner consistent with the best interests of our business. Our license agreements with Penn provide that Penn has the right under certain circumstances to control the preparation, prosecution and maintenance of the underlying patent rights.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Pending patent applications cannot be enforced against third parties practicing the technology claimed in such applications unless and until a patent issue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Pending and future patent applications may not result in patents being issued which protect our business, in whole or in part, or which effectively prevent others from commercializing competitive products. Our issued patents or any patents that may issue in the future may be invalidated or interpreted narrowly, such that they fail to provide us with any significant competitive advantage.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U.S. law does.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our competitors are competing in a non-infringing manner. Thus, even if we have valid and enforceable patents, these patents still may not provide protection against competing products or processes sufficient to achieve our business objectives.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terms of some of our license agreements with third parties, some of our third-party licensors have the right, but not the obligation in certain circumstances to control enforcement of our licensed patents or defense of any claims asserting the invalidity of these patents. Even if we are permitted to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i/>
          <w:color w:val="000000"/>
          <w:sz w:val="20"/>
        </w:rPr>
        <w:t>If we are unable to protect the confidentiality of our trade secrets, the value of our technology could be negatively impacted, and our business would be harmed.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 consuming and unsuccessful.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our product candidates.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our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products or product candidates or relating to the use of complement inhibition that may cover our product candidates or approach to complement inhibition. For example, we are aware of a U.S. patent with claims that could be construed to cover pegcetacoplan. Although we believe that these claims, if construed to cover pegcetacoplan, would be invalid due to various prior art disclosures available more than a year before the priority date of the U.S. patent, there are no assurances that a court would agree. If any third-party patents or patent applications are found to cover our products or product candidates or their methods of use or our approach to complement inhibition, we may not be free to manufacture or market our products or product candidates as planned without obtaining a license, which may not be available on commercially reasonable terms, or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products or products candidates, including interference proceedings before the USPTO. There may be third-party patents or patent applications with claims to materials, formulations, methods of manufacture or methods for treatment related to the use or manufacture of our products or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products or product candidates or force us to cease some of our business operations, which could harm our business. Claims that we have misappropriated the confidential information or trade secrets of third parties could have a similar negative impact on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Some of our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Some of our in-licensed intellectual property with respect to our products and product candidates has been funded in part by the U.S. government and, therefore, would be subject to certain federal regulations pursuant to the Bayh-Dole Act of 1980, or the Bayh-Dole Act. As a result, the U.S. government may have certain rights to intellectual property embodied in our current or future product candidates pursuant to the Bayh-Dole Act. The “march-in” provisions of the Bayh-Dole Act allow the U.S. government under strictly limited circumstances to require the patent owners to grant exclusive, partially exclusive or non-exclusive rights to third parties for intellectual property discovered through the government-funded program. The U.S. government can exercise its march-in rights if it determines that action is necessary because the patent owner fails to achieve practical application of the new invention or because action is necessary to alleviate health concerns or address the safety needs of the public. Intellectual property discovered under the government-funded program is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Penn has requested a waiver of the U.S. manufacturing requirement, but there can be no assurance that such waiver will be granted.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Changes to the patent law in the United States and other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United States for those applications filed after March 16, 2013.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enforce our intellectual property rights throughout the world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Filing, prosecuting and defending patents on our products or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Competitors may use our technologies in jurisdictions where we have not pursued and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 For instance, under the Sobi collaboration, we retain the primary right to prosecute and defend its patent and other intellectual property rights, but Sobi has the primary right to enforce such rights against competitive infringement outside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cannot ensure that we will be able to initiate or maintain similar efforts in all jurisdictions in which we may wish to market our products. Accordingly, our efforts to protect our intellectual property rights in such countries may be inadequate.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do not obtain patent term extension and data exclusivity for our products or product candidates we may develop, our business may be materially harmed.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our products or product candidates we may develop, one or more of our U.S. patents may be eligible for limited patent term extension under the Drug Price Competition and Patent Term Restoration Action of 1984, or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only one patent may be extended, and the extension only applies to those claims covering the approved drug, a method for using it, or a method for manufacturing it.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Many of our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our products and product candidates, our competitive position would be adversely affected.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fail to comply with our obligations under such agreements, our business could be harmed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products or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which could enable our competitors to obtain access to the same technologies licensed to us.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or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Regulatory Approval and Marketing of Our Product Candidates and Other Legal Compliance Matters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regulatory approval process is expensive, time consuming and uncertain and may prevent us or our collaborators such as Sobi from obtaining approvals for the commercialization of pegcetacoplan or any of our product candidates that we develop. As a result, we cannot predict when or if, and in which territories, we, or our collaborators, will obtain marketing approval to commercialize pegcetacoplan or any other product candidate that we develop.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research, testing, manufacturing, labeling, approval, selling, marketing, promotion, and distribution of products are subject to extensive regulation by the FDA and comparable foreign regulatory authorities. We are not permitted to market our product candidates in the United States or in other countries until we, or they, receive approval of an NDA from the FDA or marketing approval from applicable regulatory authorities outside the United States. Our product candidates are in various stages of development and are subject to the risks of failure inherent in drug development. The FDA approved EMPAVELI in May 2021 and the EMA approved ASPAVELI in December 2021. The FDA approved SYFOVRE in February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Further, in January 2022, the new Clinical Trials Regulation (EU) No 536/2014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European Union Member State will only be required to submit a single application for approval. The submission will be made through the Clinical Trials Information System, a clinical trials portal overseen by the EMA and available to clinical trial sponsors, competent authorities of the European Union Member States and the public.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 under the Pediatric Research Equity Act, or PREA, an NDA, biologics license application, or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EMA, or to obtain a waiver or deferral from the conduct of these studies by this Committee. For any of our product candidates for which we are seeking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our collaborators, ultimately obtain may be limited or subject to restrictions or post-approval commitments that render the approved product not commercially viable. In addition, to the extent that we seek to develop a combination drug-device product for delivery of a product candidate, or we rely on a previously cleared device to deliver a product candidate, we will also be dependent on FDA clearance or approval of such products.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our agreement with Sobi, Sobi is responsible for seeking regulatory approval outside the United States for systemic pegcetacoplan. A delay in obtaining or failure to obtain required approvals and clearances could negatively impact our ability or that of our collaborators, including Sobi, to generate revenue from the particular product candidate, which likely would result in significant harm to our financial position and adversely impact our stock price.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to market and sell EMPAVELI, SYFOVRE, pegcetacoplan in other indications or any of our other products in the European Union and other foreign jurisdictions, we, and our collaborators, such as Sobi,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our collaborators, such as Sobi,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example, in January 2024, the Committee for Medicinal Products for Human Use, or CHMP, of the European Medicines Agency adopted a negative opinion on the marketing authorization application, or MAA, for SYFOVRE in the European Union. While we are seeking re-examination of the MAA, we cannot be certain that such re-examination will be successful, and we may be required to conduct additional clinical trials of SYFOVRE. Because regulators in other jurisdictions, including those in the Access Consortium countries (including the United Kingdom, Switzerland, Australia and Canada) are influenced by decisions of the FDA and the EMA, a negative opinion by the FDA or the EMA may adversely impact the prospects for approval in other jurisdictions.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2021, the Medicines and Healthcare products Regulatory Agency, or MHRA, became responsible for supervising medicines and medical devices in Great Britain, comprising England, Scotland and Wales under domestic law, whereas under the terms of the Northern Ireland Protocol, Northern Ireland is currently subject to EU rules. The United Kingdom and European Union have however agreed to the Windsor Framework which fundamentally changes the existing system under the Northern Ireland Protocol, including with respect to the regulation of medicinal products in the United Kingdom. Once implemented, the changes introduced by the Windsor Framework will see the MHRA be responsible for approving all medicinal products destined for the UK market (i.e., Great Britain and Northern Ireland), and the EMA will no longer have any role in approving medicinal products destined for Northern Ireland. Any delay in obtaining, or an inability to obtain, any marketing authorizations, as a result of Brexit or otherwise, may force us to restrict or delay efforts to seek regulatory approval in the United Kingdom for our product candidates, which could significantly and materially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outside of the United States;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pStyle w:val="TextBody"/>
        <w:bidi w:val="0"/>
        <w:spacing w:before="200" w:after="283"/>
        <w:jc w:val="left"/>
        <w:rPr>
          <w:rFonts w:ascii="Times New Roman" w:hAnsi="Times New Roman"/>
          <w:sz w:val="20"/>
        </w:rPr>
      </w:pPr>
      <w:r>
        <w:rPr>
          <w:rFonts w:ascii="Times New Roman" w:hAnsi="Times New Roman"/>
          <w:b/>
          <w:i/>
          <w:color w:val="000000"/>
          <w:sz w:val="20"/>
        </w:rPr>
        <w:t>We intend to conduct certain of our clinical trials globally</w:t>
      </w:r>
      <w:r>
        <w:rPr>
          <w:rFonts w:ascii="Times New Roman" w:hAnsi="Times New Roman"/>
          <w:color w:val="000000"/>
          <w:sz w:val="20"/>
        </w:rPr>
        <w:t xml:space="preserve"> </w:t>
      </w:r>
      <w:r>
        <w:rPr>
          <w:rFonts w:ascii="Times New Roman" w:hAnsi="Times New Roman"/>
          <w:b/>
          <w:i/>
          <w:color w:val="000000"/>
          <w:sz w:val="20"/>
        </w:rPr>
        <w:t>. However, the FDA and other foreign equivalents may not accept data from such trials, in which case our development plans will be delayed, which could materially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conducted and intend to continue conducting certain of our clinical trials globally.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Conducting clinical trials outside the United States also exposes us to additional risks, including risks associated with: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 foreign regulatory requirements;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compliance with foreign manufacturing, customs, shipment and storage requirements;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cultural differences in medical practice and clinical research;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diminished protection of intellectual property in some countries; 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interruptions or delays in our trials resulting from geopolitical events, such as war or terrorism. </w:t>
      </w:r>
    </w:p>
    <w:p>
      <w:pPr>
        <w:pStyle w:val="TextBody"/>
        <w:bidi w:val="0"/>
        <w:spacing w:before="200" w:after="283"/>
        <w:jc w:val="left"/>
        <w:rPr>
          <w:rFonts w:ascii="Times New Roman" w:hAnsi="Times New Roman"/>
          <w:sz w:val="20"/>
        </w:rPr>
      </w:pPr>
      <w:r>
        <w:rPr>
          <w:rFonts w:ascii="Times New Roman" w:hAnsi="Times New Roman"/>
          <w:b/>
          <w:i/>
          <w:color w:val="000000"/>
          <w:sz w:val="20"/>
        </w:rPr>
        <w:t>We may seek certain designations for our product candidates, including Breakthrough Therapy, Fast Track and Priority Review in the United States, and PRIME (priority medicines) in the European Union, but we might not receive such designations, and even if we do, such designations may not lead to a faster development or regulatory review or approval process.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early and frequent interaction and communication between the FDA and the sponsor of the trial can help to identify the most efficient path for clinical development.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NDA before the application is complete. This rolling review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may be available if the FDA determines, after preliminary evaluation of data submitted by the sponsor, that a Fast Track product may be effective.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also seek a priority review designation for one or more of our product candidates. If the FDA determines that a product candidate intended to treat a serious condition and, if approved, offers a significant improvement in safety or effectiveness, the FDA may designate the product candidate for priority review. A priority review designation shortens the goal for the FDA to review an application within six months, rather than the standard review period of ten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designations require a sponsor to submit an application for review and approval by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European Union, we may seek PRIME for some of our product candidates in the future. PRIME is a voluntary program launched by the EMA that is aimed at enhancing the scientific and regulatory support for the development and accelerated assessment of new product candidates that target an unmet medical need. PRIME is aimed to offer early and proactive support to sponsors to optimize the generation of robust data on the product’s benefits and risks and enable accelerated regulatory assessment of new marketing applications. To be eligible for PRIME, a product candidate must meet the eligibility criteria in respect to its potential to offer a major therapeutic advantage over existing treatments, or benefit patients who do not have any treatment options. The benefits of PRIME include the appointment of a CHMP rapporteur to provide continued support and help to build knowledge ahead of a MAA,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We may apply for PRIME and it may not be granted.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 </w:t>
      </w:r>
    </w:p>
    <w:p>
      <w:pPr>
        <w:pStyle w:val="TextBody"/>
        <w:bidi w:val="0"/>
        <w:spacing w:before="200" w:after="283"/>
        <w:jc w:val="left"/>
        <w:rPr>
          <w:rFonts w:ascii="Times New Roman" w:hAnsi="Times New Roman"/>
          <w:sz w:val="20"/>
        </w:rPr>
      </w:pPr>
      <w:r>
        <w:rPr>
          <w:rFonts w:ascii="Times New Roman" w:hAnsi="Times New Roman"/>
          <w:b/>
          <w:i/>
          <w:color w:val="000000"/>
          <w:sz w:val="20"/>
        </w:rPr>
        <w:t>Where appropriate, we plan to pursue approval from the FDA, EMA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Where appropriate, we plan to pursue accelerated development strategies in areas of medical need. We may seek an accelerated approval pathway for one or more of our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the FDA every six months (until the study is completed), and use expedited procedures to withdraw accelerated approval of an NDA or BLA after the confirmatory trial fails to verify the product’s clinical benefit. Further,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FDORA requires the FDA to publish on its website “the rationale for why a post-approval study is not appropriate or necessary” whenever it decides not to require such a study upon granting accelerated approval.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While this guidance is currently only in draft form and will not be legally binding even when finalized, we will need to consider the FDA’s guidance if we seek accelerated approval for any of our products in the future.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European Union,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(i.e., Fast Track designation, Breakthrough Therapy designation or orphan drug designation),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our collaborators, may not be able to obtain orphan drug designation or orphan drug exclusivity for our product candidates and, even if we do, that exclusivity may not prevent the FDA or the EMA from approving other competing products.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pegcetacoplan for the treatment of PNH and for the treatment of C3 glomerulopathy. We, or our collaborators, may seek orphan drug designations for pegcetacoplan for other indications and for other product candidates and may be unable to obtain such designations.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Even if we, or our collaborators, obtain orphan drug designation for a product candidate, such as is the case for pegcetacoplan for the treatment of PNH, we, or they, may not be able to obtain orphan drug exclusivity for that product candidate.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Even if we, or our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FDA, EMA and other regulatory authorities actively enforce the laws and regulations prohibiting the promotion of off-label uses.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and we are found to have improperly promoted off-label uses of those products, we may become subject to significant liability. The FDA, EMA and other regulatory authorities strictly regulate the promotional claims that may be made about prescription products, such as our product candidates, if approved. In particular, a product may not be promoted in the United States for uses that are not approved by the FDA as reflected in the product’s approved labelling, or in other jurisdictions for uses that differ from the labelling or uses approved by the applicable regulatory authorities. While physicians may prescribe products for off-label uses, the FDA, EMA and other regulatory authorities actively enforce laws and regulations that prohibit the promotion of off-label uses by companies, including promotional communications made by companies’ sales force with respect to off-label uses that are not consistent with the approved labelling, and a company that is found to have improperly promoted off-label uses may be subject to significant civil, criminal and administrative penalties.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or our collaborators, obtain marketing approvals for our product candidates, the terms of approvals and ongoing regulation of our products may limit how we manufacture and market our products, which could impair our ability to generate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Once marketing approval has been granted, an approved product and its manufacturer and marketer are subject to ongoing review and extensive regulation. We, and our collaborators, must therefore comply with requirements concerning advertising and promotion for any of our product candidates which we or they market. Promotional communications with respect to prescription drugs are subject to a variety of legal and regulatory restrictions and must be consistent with the information in the product’s approved labeling. Thus, we and our collaborators will not be able to promote any products we develop for indications or uses for which they are not approved. We are limited to promoting EMPAVELI and SYFOVRE in accordance with their approved label in each jurisdiction and may not promote them for any indication other than as stated on the label. The label for Aspaveli in the European Union is more limited than the label for EMPAVELI in the United States.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EMPAVELI, SYFOVRE, and any other product candidates for which we, or our collaborators, obtain marketing approval in the future could be subject to post-marketing restrictions or withdrawal from the market and we, or our collaborators, may be subject to substantial penalties if we, or they, fail to comply with regulatory requirements or if we, or they, experience unanticipated problems with our products following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EMPAVELI, SYFOVRE, and any other product candidates for which we, or our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requirements, requirements relating to manufacturing, quality control, quality assurance and corresponding maintenance of records and documents, requirements regarding the distribution of samples to physicians and recordkeeping. For EMPAVELI, SYFOVRE, and any other product candidate that is granted marketing approval, the approval may be subject to limitations on the indicated uses for which the product may be marketed or to the conditions of approval, including the requirement to implement a Risk Evaluation and Mitigation Strategy.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collaborators and their contract manufacturers could be subject to periodic unannounced inspections by the FDA to monitor and ensure compliance with cGMPs.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our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products or their manufacturers or manufacturing processes, or failure to comply with regulatory requirements,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coverage by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our ability to maintain approval and market our new drug products may be impacted by ongoing litigation challenging the FDA’s approval of mifepristone. Specifically, on April 7, 2023, the U.S. District Court for the Northern District of Texas stayed the approval by the FDA of mifepristone, a drug product which was originally approved in 2000 and whose distribution is governed by various conditions adopted under a Risk Evaluation and Mitigation Strategies, or REMS. In reaching that decision, the district court made a number of findings that may negatively impact the development, approval and distribution of drug products in the U.S. Among other determinations, the district court held that plaintiffs were likely to prevail in their claim that FDA had acted arbitrarily and capriciously in approving mifepristone without sufficiently considering evidence bearing on whether the drug was safe to use under the conditions identified in its labeling. Further, the district court read the standing requirements governing litigation in federal court as permitting a plaintiff to bring a lawsuit against the FDA in connection with its decision to approve an NDA or establish requirements under a REMS based on a showing that the plaintiff or its members would be harmed to the extent that FDA’s drug approval decision effectively compelled the plaintiffs to provide care for patients suffering adverse events caused by a given drug.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12, 2023, the district court decision was stayed, in part, by the U.S. Court of Appeals for the Fifth Circuit. Thereafter, on April 21, 2023, the U.S. Supreme Court entered a stay of the district court’s decision, in its entirety, pending disposition of the appeal of the district court decision in the Court of Appeals for the Fifth Circuit and the disposition of any petition for a writ of certiorari to or the Supreme Court. The Court of Appeals for the Fifth Circuit held oral argument in the case on May 17, 2023 and, on August 16, 2023, issued its decision. The court declined to order the removal of mifepristone from the market, finding that a challenge to the FDA’s initial approval in 2000 is barred by the statute of limitations. But the Appeals Court did hold that plaintiffs were likely to prevail in their claim that changes allowing for expanded access of mifepristone that FDA authorized in 2016 and 2021 were arbitrary and capricious. On September 8, 2023, the Justice Department and a manufacturer of mifepristone filed petitions for a writ of certiorari, requesting that asked the U.S. Supreme Court to review the Appeals Court decision. On December 13, 2023, the Supreme Court granted these petitions for writ of certiorari for the appeals court decision.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and our collaborators, are not able to comply with post-approval regulatory requirements, we, and our collaborators, could have the marketing approvals for our products withdrawn by regulatory authorities and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disruptions may still result also from the recent COVID-19 pandemic or any similar event that may occur in the future. During the recent COVID-19 pandemic, a number of companies announced receipt of complete response letters due to the FDA’s inability to complete required inspections for their applications. In the event of a resurgence of the recent COVID-19 pandemic or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the recent COVID-19 pandemic or a similar public health emergency and may also experience delays in their regulatory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Current and future legislation may increase the difficulty and cost for us and our collaborators to obtain reimbursement of and commercialize our product candidates and affect the prices we, or they, may obtain.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our collaborators, to profitably sell EMPAVELI, SYFOVRE, or any other products for which we, or they, obtain marketing approval. We expect that current laws, as well as other healthcare reform measures that may be adopted in the future, may result in more rigorous coverage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criteria and in additional downward pressure on the price that we, or our collaborators, may receive for any approved products. If reimbursement of our products is unavailable or limited in scope, our business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2010, President Obama signed into law the Patient Protection and Affordable Care Act, as amended by the Health Care Education Reconciliation Act, or collectively the ACA. Since enactment of the ACA, there have been and continue to be, numerous legal challenges and Congressional actions to repeal and replace provisions of the law. For example, with enactment of the Tax Act in 2017, Congress repealed the “individual mandate.” The repeal of this provision, which requires most Americans to carry a minimal level of health insurance, became effective in 2019. On June 17, 2021, the U.S. Supreme Court dismissed the most recent judicial challenge to the ACA brought by several states without specifically ruling on the constitutionality of the ACA. Litigation and legislation over the ACA are likely to continue, with unpredictable and uncertain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legislative changes have been adopted since the ACA was enacted, including aggregate reductions to Medicare payments to providers of up to 2% per fiscal year, which went into effect in April 2013 and will remain in effect through 2031. Under current legislation, the actual reductions in Medicare payments may vary up to 4%. The Consolidated Appropriations Act, or CAA, which was signed into law by President Biden in December 2022, made several changes to sequestration of the Medicare program. Section 1001 of the CAA delays the 4% Statutory Pay-As-You-Go Act of 2010, or PAYGO, sequester for two years, through the end of calendar year 2024. Triggered by the enactment of the American Rescue Plan Act of 2021, the 4% cut to the Medicare program would have taken effect in January 2023. The CAA’s health care offset title includes Section 4163, which extends the 2% Budget Control Act of 2011 Medicare sequester for six months into fiscal year 2032 and lowers the payment reduction percentages in fiscal years 2030 and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European Union,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health technology assessment, or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prices of prescription pharmaceuticals in the United States and foreign jurisdictions are subject to considerable legislative and executive actions and could impact the prices we obtain for our products, if and when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Nine states have passed laws allowing for the importation of drugs from Canada. Certain of these states have submitted Section 804 Importation Program proposals and are awaiting FDA approval. On January 5, 2023, the FDA approved Florida’s plan for Canadian drug importation. The rule also creates a new safe harbor for price reductions reflected at the point-of-sale, as well as a new safe harbor for certain fixed fee arrangements between pharmacy benefit managers and manufacturers, the implementation of which has been delayed until January 1, 2032 by the Inflation Reduction Act of 2022, or IRA.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9, 2021, President Biden signed Executive Order 14063, which focuses on, among other things, the price of pharmaceuticals. The Order directs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16,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against the HHS and CMS. We expect that litigation involving these and other provisions of the IRA will continue, with unpredictable and uncertain results. Accordingly, while it is currently unclear how the IRA will be effectuated, we cannot predict with certainty what impact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some countries, including member states of the European Union,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Healthcare providers, physicians and third-party payors will play a primary role in the recommendation and prescription of any products for which we obtain marketing approval. Our current and future arrangements with healthcare providers, and third-party payors and customers, if any,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 </w:t>
      </w:r>
    </w:p>
    <w:p>
      <w:pPr>
        <w:pStyle w:val="TextBody"/>
        <w:bidi w:val="0"/>
        <w:spacing w:before="200" w:after="283"/>
        <w:jc w:val="left"/>
        <w:rPr>
          <w:rFonts w:ascii="Times New Roman" w:hAnsi="Times New Roman"/>
          <w:sz w:val="20"/>
        </w:rPr>
      </w:pPr>
      <w:r>
        <w:rPr>
          <w:rFonts w:ascii="Times New Roman" w:hAnsi="Times New Roman"/>
          <w:i/>
          <w:color w:val="000000"/>
          <w:sz w:val="20"/>
        </w:rPr>
        <w:t>Anti-Kickback Statute</w:t>
      </w:r>
      <w:r>
        <w:rPr>
          <w:rFonts w:ascii="Times New Roman" w:hAnsi="Times New Roman"/>
          <w:color w:val="000000"/>
          <w:sz w:val="20"/>
        </w:rPr>
        <w:t xml:space="preserve">.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 </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False Claims Laws. </w:t>
      </w:r>
      <w:r>
        <w:rPr>
          <w:rFonts w:ascii="Times New Roman" w:hAnsi="Times New Roman"/>
          <w:color w:val="000000"/>
          <w:sz w:val="20"/>
        </w:rPr>
        <w:t xml:space="preserve">The federal false claims and civil monetary penalties laws, including the federal civil False Claims Act, impose criminal and civil penalties, including through civil whistleblower or </w:t>
      </w:r>
      <w:r>
        <w:rPr>
          <w:rFonts w:ascii="Times New Roman" w:hAnsi="Times New Roman"/>
          <w:i/>
          <w:color w:val="000000"/>
          <w:sz w:val="20"/>
        </w:rPr>
        <w:t>qui tam</w:t>
      </w:r>
      <w:r>
        <w:rPr>
          <w:rFonts w:ascii="Times New Roman" w:hAnsi="Times New Roman"/>
          <w:color w:val="000000"/>
          <w:sz w:val="20"/>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HIPAA. </w:t>
      </w:r>
      <w:r>
        <w:rPr>
          <w:rFonts w:ascii="Times New Roman" w:hAnsi="Times New Roman"/>
          <w:color w:val="000000"/>
          <w:sz w:val="20"/>
        </w:rPr>
        <w:t xml:space="preserve">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 </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Transparency Requirements. </w:t>
      </w: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transfers of value made to certain healthcare providers and teaching hospitals, as well as information regarding ownership and investment interests held by physicians and their immediate family members;</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Analogous State and Foreign Laws. </w:t>
      </w:r>
      <w:r>
        <w:rPr>
          <w:rFonts w:ascii="Times New Roman" w:hAnsi="Times New Roman"/>
          <w:color w:val="000000"/>
          <w:sz w:val="20"/>
        </w:rPr>
        <w:t xml:space="preserve">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Additionally, some state and local laws require the registration of pharmaceutical sales representatives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jurisdiction.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Violation of these laws could result in substantial fines and imprisonment.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With the passage of the CREATES Act, we are exposed to possible litigation and damages by competitors who may claim that we are not providing sufficient quantities of our approved products on commercially reasonable, market-based terms for testing in support of their ANDAs and 505(b)(2) applications.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2019, former President Trump signed legislation intended to facilitate the development of generic and biosimilar products. The bill, previously known as the CREATES Act, authorizes sponsors of abbreviated new drug applications, or ANDAs, and 505(b)(2) applications to file lawsuits against companies holding NDAs that decline to provide sufficient quantities of an approved reference drug on commercially reasonable, market-based terms. Drug products on FDA’s drug shortage list are exempt from these new provisions unless the product has been on the list for more than six continuous months, or the FDA determines that the supply of the product will help alleviate or prevent a shortage.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bring an action under the statute, an ANDA or 505(b)(2) sponsor must take certain steps to request the reference product, which, in the case of products covered by a Risk Evaluation and Mitigation Strategy with elements to assure safe use, include obtaining authorization from the FDA for the acquisition of the reference product. If the sponsor does bring an action for failure to provide a reference product, there are certain affirmative defenses available to the NDA holder, which must be shown by a preponderance of evidence. If the sponsor prevails in litigation, it is entitled to a court order directing the NDA holder to provide, without delay, sufficient quantities of the applicable product on commercially reasonable, market-based terms, plus reasonable attorney fees and costs.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the new statutory provisions authorize a federal court to award the product developer an amount “sufficient to deter” the NDA holder from refusing to provide sufficient product quantities on commercially reasonable, market-based terms if the court finds, by a preponderance of the evidence, that the NDA holder did not have a legitimate business justification to delay providing the product or failed to comply with the court’s order. For the purposes of the statute, the term “commercially reasonable,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market-based terms” is defined as (1) the nondiscriminatory price at or below the most recent wholesale acquisition cost for the product, (2) a delivery schedule that meets the statutorily defined timetable, and (3) no additional conditions on the sale.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intend to comply fully with the terms of these new statutory provisions, we are still exposed to potential litigation and damages by competitors who may claim that we are not providing sufficient quantities of our approved products on commercially reasonable, market-based terms for testing in support of ANDAs and 505(b)(2) applications. Such litigation would subject us to additional litigation costs, damages and reputational harm, which could lead to lower revenues. The CREATES Act may enable generic competition with EMPAVELI, SYFOVRE, and any of our product candidates, if approved, which could impact our ability to maximize product revenue.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similar laws in the future, and Congress has also been debating passing a federal privacy law. There are also states that are specifically regulating health information that may affect our business. For example, Washington state passed a health privacy law in 2023 that will regulate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collection and sharing of health information, and the law also has a private right of action, which further increases the relevant compliance risk. Connecticut and Nevada have also passed similar laws regulating consumer health data and additional states are considering such legislation for 2024. These laws may impact our business activities, including our identification of research subjects, relationships with business partners and ultimately the marketing and distribution of our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GDPR places restrictions on the cross-border transfer of personal data from the European Union to countries that have not been found by the EC to offer adequate data protection legislation, such as the United States.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2022, President Biden signed an executive order to implement the EU-U.S. Data Privacy Framework, which serves as a replacement to the EU-U.S. Privacy Shield.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Furthermore, while the Data Protection Act of 2018 in the United Kingdom that “implements” and complements the EU’s GDPR has achieved Royal Assent on May 23, 2018 and is now effective in the United Kingdom, it is still unclear whether transfer of data from the EEA to the United Kingdom will remain lawful under GDPR. The Trade and Cooperation Agreement provides for a transitional period during which the United Kingdom will be treated like a European Union member state in relation to processing and transfers of personal data for four months from January 1, 2021. This may be extended by two further months. After such period, the United Kingdom will be a “third country” under the GDPR unless the European Commission adopts an adequacy decision in respect of transfers of personal data to the United Kingdom. The United Kingdom has already determined that it considers all of the EU 27 and EEA member states to be adequate for the purposes of data protection, ensuring that data flows from the United Kingdom to the EU/EEA remain unaffected.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A variety of risks associated with international operations could materially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we engage in significant cross-border and international activities, we will be subject to risks related to international operations,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regulatory requirements for initiating clinical trials and maintaining approval of drugs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 in certain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political instability or open conflict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and multiple payor reimbursement regimes, government payers or patient self-pay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of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North America;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controlled substance legislation differs between countries and legislation in certain countries may restrict, limit, or delay our ability to manufacture and/or transport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import, export and re-export control and sanctions laws and regulations, which likelihood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trials, selling our products, and obtaining necessary permits, licenses, patent registrations, and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tighter restrictions on privacy and data protection, and more burdensome obligations associated with the collection, use and retention of data, including clinical data and genetic material, may apply in jurisdictions outside of North America;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terrorism, and civil and political unrest (such as the ongoing conflicts in the Middle East and between Russia and Ukraine), or natural disasters including earthquakes, typhoons, floods and fires;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and other disruptions resulting from the impact of public health epidemics, including the COVID-19 pandemic, on our strategic partners, third-party manufacturers, suppliers and other third parties upon which we rely.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Laws and regulations governing our international operations may preclude us from developing, manufacturing, and selling certain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FCPA is enforced by the Department of Justice and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 clinics, universities and similar institutions are operated by the government, and doctors and other hospital employees are considered foreign officials. Certain payments to hospitals in connection with clinical trials, regulatory approvals, sales and marketing and other work have been deemed to be improper payments to government officials and have led to FCPA enforcement actions. Because the FCPA applies to indirect payments, the use of third parties and other collaborators can increase potential FCPA risk, as we could be held liable for the acts of third parties that do not comply with the FCPA’s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penalties, including suspension or debarment from government contracting. Violation of the FCPA can result in significant civil and criminal penalties.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Like the FCPA, the UK Bribery Act and other anti-corruption laws throughout the world similarly prohibit offers and payments made to obtain improper business advantages, including offers or payments to healthcare professionals and other government and non-government officials. These other anti-corruption laws also can result in substantial financial penalties and other collateral consequences.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As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200" w:after="283"/>
        <w:jc w:val="left"/>
        <w:rPr>
          <w:rFonts w:ascii="Times New Roman" w:hAnsi="Times New Roman"/>
          <w:sz w:val="20"/>
        </w:rPr>
      </w:pPr>
      <w:r>
        <w:rPr>
          <w:rFonts w:ascii="Times New Roman" w:hAnsi="Times New Roman"/>
          <w:b/>
          <w:i/>
          <w:color w:val="000000"/>
          <w:sz w:val="20"/>
        </w:rPr>
        <w:t>We are subject to governmental export and import controls that could impair our or our collaborators' ability to compete in international markets due to licensing requirements and subject us or them to liability if we or they are not in compliance with applicable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products outside of the United States must be made in compliance with these laws and regulations. If we or our collaborators fail to comply with these laws and regulations, we or they and certain of our or their employees could be subject to substantial civil or criminal penalties, including the possible loss of export or import privileges; fines, which may be imposed on us or our collaborators and the respective responsible employees or managers; and, in extreme cases, the incarceration of responsible employees or managers.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and continue to conduct, clinical trials in various jurisdictions, including Russia and other Eastern European countries. In response to the conflict between Russia and Ukraine, the United States, the European Union, and other jurisdictions have imposed economic sanctions and other restrictions against certain officials, individuals, entities, regions, and industries in Russia, Ukraine, and Belarus. Such sanctions, and any further restrictions that may be promulgated, could adversely impact our ability to conduct our clinical program in certain jurisdictions. We will continue to closely monitor the geopolitical situation in Ukraine and its impact on our clinical trial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our products or changes in applicable export or import laws and regulations may create delays in the introduction, provision, or sale of our products in international markets, prevent customers from using our products or, in some cases, prevent the export or import of our products to certain countries, governments or persons altogether. Any limitation on our ability to export, provide, or sell our products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employees or consultants may engage in misconduct or other improper activities, including non-compliance with regulatory standards and requirements, which could cause significant liability for us and harm our reputation.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or consultant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It is not always possible to identify and deter employee or consultant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Employee Matters and Managing Growth</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Our future success depends on our ability to retain our executive team and to attract, retain and motivate qualified personnel.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highly dependent on the pharmaceutical research and development and business development expertise of our executive team, including Cedric Francois, M.D., Ph.D., our President and Chief Executive Officer. The members of our executive team are employed “at will,” meaning any of them may terminate his or her employment with us at any time with or without notice and for any reason or no reason. In the future, we may be dependent on other members of our management, scientific and development team.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corporate restructuring and workforce reduction announced in August 2023, may not result in anticipated savings, could result in total costs and expenses that are greater than expected and could disrupt our business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2023, we announced that we were conducting a corporate restructuring and cost savings initiatives involving a headcount reduction of approximately 225 employees, or approximately 25% of our then current workforce. We have estimated that the restructuring and related cost reduction initiatives will result in up to $300 million in total cost savings through 2024. However, these estimates are subject to several assumptions, and actual results may differ. We may not realize, in full or in part, the anticipated benefits and savings from this restructuring due to unforeseen difficulties, delays or unexpected costs. If we are unable to realize the expected cost savings from the announced restructuring, our operating results and financial condition could be adversely affected. The workforce reduction may be disruptive to our operations and could yield unanticipated consequences, such as attrition beyond planned staff reductions, increased difficulties in our day-to-day operations and reduced employee morale, as well as result in weaknesses in our infrastructure and operations, and may increase the risk that we become unable to comply with legal and regulatory requirements. Our workforce reductions could also harm ability to attract and retain qualified management, scientific, clinical, and/or manufacturing personnel. Any failure to attract or retain qualified personnel could prevent us from successfully commercializing SYFOVRE and EMPAVELI and may adversely affect the development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These risks may be particularly acute given the rapid growth in the size of our company.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engage in acquisitions that could disrupt our business, cause dilution to our stockholders or reduce our financial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sustainable. If an active trading market is not sustained, our ability to raise capital in the future may be impaired.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shares began trading on the Nasdaq Global Select Market on November 9, 2017. There is a risk that an active trading market for our shares may not be sustained, which could put downward pressure on the market price of our common stock and thereby affect the ability of stockholders to sell their shares. An inactive trading market for our common stock may also impair our ability to raise capital to continue to fund our operations by selling shares and impair our ability to acquire other companies or technologies by using our shares as consideration.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trading price of our common stock is highly volatile, which could result in substantial losses for our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commercializing EMPAVELI and SYFOVRE;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of pegcetacoplan and any other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discussions with regulatory authorities and regulatory actions with respect to our product candidates or our competitors’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partnerships, joint ventures, collaborations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candidates or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of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or development timelines;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our insiders or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short positions, hedging or other transactions in our securities in connection with our Convertible Notes;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example, the trading price of our common stock experienced significant volatility in 2023. On June 13, 2023, the closing price of our common stock on the Nasdaq Global Select Market was $93.31 and on August 7, 2023, the closing price of our common stock on the Nasdaq Global Select Market was $23.65.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of the initial, top-line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and our chief executive officer have been named as defendants in lawsuits that could result in substantial costs and divert management’s attention.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and our chief executive officer have been named as defendants in a purported class action lawsuit initiated in 2023 that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plaintiffs seek, among other relief, compensatory damages and equitable relief in favor of the alleged class of plaintiffs against all defendants, including interest, and reasonable costs and expenses incurred by plaintiffs, including attorneys’ and expert fees. The outcome of the matter described above cannot be predicted with certainty. However, we intend to vigorously defend against the litigation.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attention and resources from other priorities, including the execution of business plans and strategies that are important to our ability to grow our business, any of which could have a material adverse effect on our business. Additional similar lawsuits might be filed. See “Part II, Item 1-Legal Proceedings”.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We have broad discretion in the use of our funds and may not use them effectively.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will have broad discretion in the application of our cash and cash equivalents and could spend our funds in ways that do not improve our results of operations or enhance the value of our common stock. The failure by our management to apply these funds effectively could result in financial losses that could harm our business, cause the price of our common stock to decline and delay the development of our product candidates. Pending their use, we may invest our funds in a manner that does not produce income or that loses value.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is required to devote substantial time to compliance initiatives and corporate governance practices.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increase our legal and financial compliance costs and make some activities more time-consuming and costly.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errors.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regularly review and update our internal controls, disclosure controls and procedures, and corporate governance policies. In addition, we are required under the Sarbanes-Oxley Act of 2002 to report annually on our internal control over financial reporting. Our system of internal controls, however well-designed and operated, is based in part on certain assumptions and includes elements that rely on information from third parties. Our system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common stock could be negatively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 Failure to comply with reporting requirements could also subject us to sanctions and/or investigations by the SEC, The Nasdaq Stock Market or other regulatory authorities.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sale of a substantial number of shares of our common stock could cause the market price of our common stock to decline significantly, even if our business is doing well.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registered all shares of common stock that we may issue under our equity compensation plans. As of December 31, 2023, we had options to purchase an aggregate of 8,663,776 shares of our common stock outstanding, of which options to purchase 6,712,201 shares were vested and 4,301,126 outstanding unvested restricted stock units that upon vesting would result in the issuance of 4,301,126 shares of our common stock. We also had pre-funded warrants to purchase 2,380,956 shares of our common stock outstanding. The shares issuable upon exercise or vesting can be freely sold in the public market upon issuance, subject to volume limitations applicable to affiliates. Moreover, holders of an aggregate of 10,778,303 shares of our common stock have rights, subject to conditions, to require us to file registration statements covering their shares or to include their shares in registration statements that we may file for ourselves or other stockholders. If these additional shares are sold, or if it is perceived that they will be sold, in the public market, the trading price of our common stock could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in their interpretation could adversely affect our business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Changes in tax law could adversely affect our business or financial condition. For example, on December 22, 2017, the U.S. government enacted legislation, commonly referred to as the Tax Cuts and Jobs Act, or the TCJA, that significantly revised the Internal Revenue Code of 1986, as amended, or the Code. The TCJA, as amended by the Coronavirus Aid, Relief, and Economic Security Act, or CARES Act, among other things, contained significant changes to corporate taxation, including reduction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corporate tax rate from a top marginal rate of 35% to a flat rate of 21% for taxable years beginning after December 31, 2020 and limitation of the deduction for net operating losses to 80% of current year taxable income for losses arising in taxable years beginning after December 31, 2017 (though any such net operating losses may be carried forward indefinitely). In addition, beginning in 2022, the TCJA eliminates the option to deduct research and development expenditures currently and generally requires corporations to capitalize and amortize them over five years or 15 years (for expenditures attributable to foreign research).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part of Congress’ response to the COVID-19 pandemic, in addition to the CARES Act, economic relief legislation was enacted in 2020 and 2021 containing tax provisions. The IRA, which was signed into law in August 2022, also introduced new tax provisions, including a one percent excise tax imposed on certain stock repurchases by publicly traded corporations.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Regulatory guidance under the TCJA, the IRA, and additional legislation is and continues to be forthcoming, and such guidance could ultimately increase or lessen the impact of these laws on our business and financial condition. Congress may enact additional legislations, some of which could have an impact on our company. In addition, it is uncertain if and to what extent various states will conform to such legislation.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enactment of some or all of the recommendations set forth or that may be forthcoming in the Organization for Economic Cooperation and Development’s (“OECD”) project on “Base Erosion and Profit Shifting” by tax authorities in the countries in which we operate, could unfavorably impact our effective tax rate. These initiatives focus on common international principles for the entitlement to tax global corporate profits and enactment of minimum global tax rate of 15%. Many countries have or are in the process of enacting legislation intended to implement the OECD Global Anti-Base Erosion (“GloBE”) Model Rules effective on January 01, 2024. The impact on the Company will depend on the timing of implementation, the exact nature of each country’s GloBE legislation, guidance, and regulations thereon and their application by the tax authorities either prospectively or retrospectively.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 and research and development tax credit carryforwards.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2023, we had both federal and state net operating loss carryforwards of $494.1 million and $524.0 million, respectively, and federal and state research and development tax credit carryforwards of $85.7 million and $20.2 million, respectively. Federal net operating loss carryforward generated post-2017 in the amount of $449.8 million may be carried forward indefinitely. The remaining net operating loss and research and development tax credit carryforward will begin to expire in 2025. These net operating loss and tax credit carryforwards could expire unused and be unavailable to offset future income tax liabilities. Under the TCJA, as modified by the CARES Act, federal net operating losses incurred in 2018 and in future years may be carried forward indefinitely, but the deductibility of such federal net operating losses in 2021 and future years is limited. Certain states have also enacted temporary suspension or limitation of the utilization of net operating loss carryforwards.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experienced a Section 382 ownership change in September 2015, which imposes annual limitations on our use of pre-change net operating loss carryforwards and other pre-change tax attributes. In addition, we may experience ownership changes in the future as a result of subsequent shifts in our stock ownership, some of which may be outside of our control. We have determined that our research and development credit carryforwards are also limited. These limitations upon our historical net operating loss and tax credit carryforwards may harm our future operating results by effectively increasing our future tax obligations. Refer to Note 14, “Income Taxes,” of the consolidated financial statements included in this Annual Report on Form 10-K for additional information related to our accounting for income taxes.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Taxing authorities could challenge our historical and future tax positions or our allocation of taxable income among our subsidiaries, and tax laws to which we are subject could change in a manner adverse to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operate through various subsidiaries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Our transfer pricing arrangements are not generally binding on applicable tax authorities. The price charged for products, services, or the royalty rates and other amounts paid for intellectual property rights, could be challenged by the various tax authorities, resulting in additional tax liability, interest, and/or penalties. There can be no assurance that a taxing authority will not have a different interpretation of applicable law and assess us with additional taxes. If we are assessed with additional taxes, this may result in a material adverse effect on our results of operations and/or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Any changes to existing accounting pronouncements or taxation rules or practices may cause adverse fluctuations in our reported results of operations or affect how we conduct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 to existing rules, future changes, if any, or the need for us to modify a current tax or accounting position may adversely affect our reported financial results or the way we conduct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do not anticipate paying any cash dividends on our capital stock in the foreseeable future. Accordingly, stockholders must rely on capital appreciation, if any, for any return on their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never declared nor paid cash dividends on our capital stock. We currently plan to retain all of our future earnings, if any, to finance the operation, development and growth of our business. In addition, the terms of our development funding agreement with SFJ, precludes us from paying dividends, and any future debt or credit agreements may also preclude us from paying dividends. As a result, capital appreciation, if any, of our common stock will be our stockholders’ sole source of gain for the foreseeable future.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Concentration of ownership of our common stock among our executive officers and directors, entities associated with our executive officers and directors and our largest stockholders may allow these stockholders to significantly influence matters submitted to our stockholders for approval, as well as our management and affairs.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February 20, 2024, our executive officers and directors, and entities associated or affiliated with our executive officers and directors, in the aggregate, beneficially owned shares representing approximately 18.0% of our outstanding common stock, including one of our largest stockholders, Morningside Venture Investments Ltd., which beneficially owned approximately 10.7% of our outstanding common stock. As a result, if these stockholders were to choose to act together, they may have the ability to significantly influence all matters submitted to our stockholders for approval, as well as our management and affairs. For example, these persons, if they choose to act together, could substantially influence the election of directors and approval of any merger, consolidation or sale of all or substantially all of our assets. This concentration of ownership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defer or prevent a change in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entrench our management or the board of directors;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impede a merger, consolidation, takeover or other business combination involving us that other stockholders may desire.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other investors purchased shares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Provisions in our corporate charter documents and under Delaware law may prevent or frustrate attempts by our stockholders to change our management or hinder efforts to acquire a controlling interest in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all members of the board are not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the board of directors or for proposing matters that can be acted 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the holders of at least 75% of the votes that all our stockholders would be entitled to cast to amend or repeal certain provisions of our charter or bylaws.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the best interests of our stockholders. These provisions may also prevent changes in our management or limit the price that investors are willing to pay for our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trading market for our common stock will likely depend in part on the research and reports that securities or industry analysts publish about us or our business. We do not have any control over these analysts. There can be no assurance that analysts will continue to cover us or provide favorable coverage. Securities or industry analysts may elect not to provide research coverage of our common stock,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our company and our directors, officers and employees.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will not apply to actions arising under the Securities Act of 1933, as amended, or the Securities Exchange Act of 1934, as amended.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pStyle w:val="TextBody"/>
        <w:bidi w:val="0"/>
        <w:spacing w:before="20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certain processes for assessing, identifying and managing cybersecurity risks, which are built into our information technology function and are designed to help protect our information assets and operations from internal and external cyber threats and employee, health care professionals, or HCPs, and patient information from unauthorized access or attack, as well as secure our networks and systems. Such processes include physical, procedural and technical safeguards, response plans, regular tests on our systems, incident simulations and routine review of our policies and procedures to identify risks and improve our practices. We engage certain external parties, including consultants, independent privacy assessors, and computer security firms to enhance our cybersecurity oversight. We consider the internal risk oversight programs of third-party service providers before engaging them in order to help protect us from any related vulnerabilities.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believe that there are currently any known risks from cybersecurity threats that are reasonably likely to materially affect us or our business strategy, results of operations or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Audit Committee of the Board of Directors provides direct oversight over cybersecurity risk. The Audit Committee receives quarterly updates from management regarding cybersecurity matters, and is notified between such updates regarding significant new cybersecurity threats or incidents.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Head of Information Technology leads the operational oversight of company-wide cybersecurity strategy, policy, standards and processes and works across relevant departments to assess and help prepare us and our employees, HCPs and patients to address cybersecurity risks. The Head of Information Technology cybersecurity function brings security credentials and expertise, with broad global cybersecurity and compliance experience in life science, healthcare, and federal government. In addition to our cybersecurity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team, a managed security service provider provides us with additional coverage to monitor, detect and respond to threats and vulnerabilities.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an effort to deter and detect cyber threats, we provide all employees, including part-time and temporary employees, with cybersecurity information and training, which covers timely and relevant topics, including social engineering, phishing, password protection, confidential data protection, asset use and mobile security, and educates employees on the importance of reporting all incidents immediately. Our third-party risk management program is integrated with global sourcing and procurement, and requires vendor risk assessments, incident reporting, and data protection controls. We also use technology-based tools to mitigate cybersecurity risks and to bolster our employee-based cybersecurity programs.</w:t>
      </w:r>
    </w:p>
    <w:p>
      <w:pPr>
        <w:pStyle w:val="TextBody"/>
        <w:bidi w:val="0"/>
        <w:spacing w:before="20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Details of our principal properties as of December 31, 2023, are provided below:</w:t>
      </w:r>
    </w:p>
    <w:p>
      <w:pPr>
        <w:pStyle w:val="TextBody"/>
        <w:bidi w:val="0"/>
        <w:jc w:val="left"/>
        <w:rPr/>
      </w:pPr>
      <w:r>
        <w:rPr/>
        <w:t> </w:t>
      </w:r>
    </w:p>
    <w:tbl>
      <w:tblPr>
        <w:tblW w:w="6521" w:type="dxa"/>
        <w:jc w:val="left"/>
        <w:tblInd w:w="0" w:type="dxa"/>
        <w:tblLayout w:type="fixed"/>
        <w:tblCellMar>
          <w:top w:w="28" w:type="dxa"/>
          <w:left w:w="28" w:type="dxa"/>
          <w:bottom w:w="28" w:type="dxa"/>
          <w:right w:w="28" w:type="dxa"/>
        </w:tblCellMar>
      </w:tblPr>
      <w:tblGrid>
        <w:gridCol w:w="2071"/>
        <w:gridCol w:w="2026"/>
        <w:gridCol w:w="146"/>
        <w:gridCol w:w="1156"/>
        <w:gridCol w:w="146"/>
        <w:gridCol w:w="976"/>
      </w:tblGrid>
      <w:tr>
        <w:trPr/>
        <w:tc>
          <w:tcPr>
            <w:tcW w:w="20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Size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 Interest</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Waltham, MA, USA</w:t>
            </w:r>
          </w:p>
        </w:tc>
        <w:tc>
          <w:tcPr>
            <w:tcW w:w="202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Headquarters</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77,818 sq. ft.</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Francisco, CA, USA</w:t>
            </w:r>
          </w:p>
        </w:tc>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 sq. ft.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Zug, Switzerland</w:t>
            </w:r>
          </w:p>
        </w:tc>
        <w:tc>
          <w:tcPr>
            <w:tcW w:w="202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 sq. m.</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Melbourne, Australia</w:t>
            </w:r>
          </w:p>
        </w:tc>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 sq. m.</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Munich, Germany</w:t>
            </w:r>
          </w:p>
        </w:tc>
        <w:tc>
          <w:tcPr>
            <w:tcW w:w="202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 sq. m.</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Subleased</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Watertown, MA, USA</w:t>
            </w:r>
          </w:p>
        </w:tc>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space</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 sq. ft.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w:t>
            </w:r>
          </w:p>
        </w:tc>
      </w:tr>
    </w:tbl>
    <w:p>
      <w:pPr>
        <w:pStyle w:val="TextBody"/>
        <w:bidi w:val="0"/>
        <w:spacing w:before="36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August 2, 2023, Judith M. Soderberg filed a putative class action in the United States District Court for the District of Delaware against the Company and certain current and former executive officers of the Company (the “Complaint”). The Complaint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Complaint seeks, among other relief, compensatory damages and equitable relief in favor of the alleged class against all defendants, including interest, and reasonable costs and expenses incurred by plaintiffs, including attorneys’ and expert fees. On October 2, 2023, the defendants moved to transfer the action to the United States District Court for the District of Massachusetts. The Court has not yet ruled on this motion.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23, 2023, the Court appointed Ray Peleckas and Michigan Laborers’ Pension Fund together as Co-Lead Plaintiffs and assigned the action the caption In Apellis Pharmaceuticals, Inc. Securities Litigation, Case 1:23-cv-00834-MN. The Co-Lead Plaintiffs filed an amended complaint on February 8, 2024 (the “Amended Complaint”). The Amended Complaint is brought on behalf of a class of all persons and entities who purchased or otherwise acquired Apellis common stock between January 28, 2021 and July 28, 2023, inclusive, names the Company and President and Cedric Francois, our chief executive officer, as defendants, and makes similar allegations, asserts the same claims and seeks the same relief as the Complaint.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outcome of the matter described above cannot be predicted with certainty. However, we intend to vigorously defend against the litigation.</w:t>
      </w:r>
    </w:p>
    <w:p>
      <w:pPr>
        <w:pStyle w:val="TextBody"/>
        <w:bidi w:val="0"/>
        <w:jc w:val="left"/>
        <w:rPr/>
      </w:pPr>
      <w:r>
        <w:rPr/>
        <w:t> </w:t>
      </w:r>
    </w:p>
    <w:p>
      <w:pPr>
        <w:pStyle w:val="TextBody"/>
        <w:bidi w:val="0"/>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360" w:after="283"/>
        <w:jc w:val="left"/>
        <w:rPr>
          <w:rFonts w:ascii="Times New Roman" w:hAnsi="Times New Roman"/>
          <w:sz w:val="20"/>
        </w:rPr>
      </w:pPr>
      <w:bookmarkStart w:id="11" w:name="item5"/>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“APLS” since November 9, 2017. Prior to that date, there was no public trading market for our common stock.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February 20, 2024, we had 5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In addition, our development agreement with SFJ contains restrictive covenants that prohibit us, subject to certain exceptions, from paying dividends on our common stock, and future debt securities or other financing arrangements could contain similar or more restrictive negative covenants.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Information about our equity compensation plans is incorporated by reference herein to Item 12 of Part III of this Annual Report on Form 10-K.</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Stock Performance Graph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of our future filings under the Securities Act of 1933, as amended, or the Securities Act, or the Exchange Act, except to the extent that we specifically incorporate it by reference into such filing.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graph below compares the cumulative total stockholder return on our common stock between December 30, 2018 and December 31, 2023, with the cumulative total return of (a) the Nasdaq Composite Index and (b) the Nasdaq Biotechnology Index over the same period. The graph assumes the investment of $100 after the market close on December 31, 2018 in our common stock and each of the other indices described above. The comparisons are not intended to forecast or be indicative of future performance of our common stock. All amounts shown are based on the closing price of our common stock. Data for the Nasdaq Composite Index and Nasdaq Biotechnology Index assume reinvestment of dividends.</w:t>
      </w:r>
    </w:p>
    <w:p>
      <w:pPr>
        <w:pStyle w:val="TextBody"/>
        <w:bidi w:val="0"/>
        <w:spacing w:before="200" w:after="283"/>
        <w:jc w:val="left"/>
        <w:rPr/>
      </w:pPr>
      <w:r>
        <w:rPr/>
        <w:drawing>
          <wp:inline distT="0" distB="0" distL="0" distR="0">
            <wp:extent cx="5581650" cy="3800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81650" cy="3800475"/>
                    </a:xfrm>
                    <a:prstGeom prst="rect">
                      <a:avLst/>
                    </a:prstGeom>
                  </pic:spPr>
                </pic:pic>
              </a:graphicData>
            </a:graphic>
          </wp:inline>
        </w:drawing>
      </w: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12" w:name="item6"/>
      <w:bookmarkEnd w:id="12"/>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Reserved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diseases with high unmet need and that are driven by excessive complement activation.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2023, the U.S. Food and Drug Administration, or the FDA, approved SYFOVRE (pegcetacoplan injection), the first approved treatment for geographic atrophy secondary to age-related macular degeneration, or GA. We believe SYFOVRE has the potential to be a best-in-class treatment for patients with GA, a disease that affects more than one million people in the United States and five million people worldwide. We launched SYFOVRE in the United States in March 2023. For the year ended December 31, 2023, we generated $275.2 million in net product revenue from sales of SYFOVRE.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2022, we also submitted a marketing authorization application, or MAA, to the European Medicines Agency, or EMA, for intravitreal pegcetacoplan for the treatment of GA. The EMA subsequently provided MAA validation and the application is under review. In January 2024, we announced that the Committee for Medicinal Products for Human Use, or CHMP, adopted a negative opinion on the MAA for intravitreal pegcetacoplan. We are initiating the re-examination of the application. Additionally, we received validation of our marketing applications by regulatory authorities in Canada, Australia, the United Kingdom, and Switzerland for the treatment of GA. We have exclusive, worldwide commercialization rights for intravitreal pegcetacoplan.</w:t>
      </w:r>
    </w:p>
    <w:p>
      <w:pPr>
        <w:pStyle w:val="TextBody"/>
        <w:bidi w:val="0"/>
        <w:spacing w:before="200" w:after="283"/>
        <w:jc w:val="left"/>
        <w:rPr>
          <w:rFonts w:ascii="Times New Roman" w:hAnsi="Times New Roman"/>
          <w:sz w:val="20"/>
        </w:rPr>
      </w:pPr>
      <w:r>
        <w:rPr>
          <w:rFonts w:ascii="Times New Roman" w:hAnsi="Times New Roman"/>
          <w:color w:val="000000"/>
          <w:sz w:val="20"/>
        </w:rPr>
        <w:t>In July 2023, we d</w:t>
      </w:r>
      <w:r>
        <w:rPr>
          <w:rFonts w:ascii="Times New Roman" w:hAnsi="Times New Roman"/>
          <w:color w:val="212121"/>
          <w:sz w:val="20"/>
        </w:rPr>
        <w:t xml:space="preserve">isclosed that we had received reports of a small number of events of retinal vasculitis following SYFOVRE treatment. As of mid-February 2024, and following the distribution of more than 200,000 doses (commercial and sample) of SYFOVRE, </w:t>
      </w:r>
      <w:r>
        <w:rPr>
          <w:rFonts w:ascii="Times New Roman" w:hAnsi="Times New Roman"/>
          <w:color w:val="000000"/>
          <w:sz w:val="20"/>
        </w:rPr>
        <w:t xml:space="preserve">we estimate that the rate of incidence of retinal vasculitis remains rare at approximately 0.01% per injection. In November 2023, we updated the U.S. Prescribing Information, or USPI, for SYFOVRE in collaboration with the FDA to include the events of retinal vasculitis with or without occlusion as part of the “Warnings and Precautions and Adverse Reactions – Postmarketing Experience” sections of the USPI. </w:t>
      </w:r>
      <w:r>
        <w:rPr>
          <w:rFonts w:ascii="Times New Roman" w:hAnsi="Times New Roman"/>
          <w:color w:val="212121"/>
          <w:sz w:val="20"/>
        </w:rPr>
        <w:t>We believe that the reports of retinal vasculitis had an adverse impact on our sales of SYFOVRE during the year ended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U.S. Centers for Medicare &amp; Medicaid Services assigned a permanent and product-specific J-code for SYFOVRE, which became effective on October 1, 2023. J-codes are permanent reimbursement codes used by government payers and commercial insurers to facilitate billing of Medicare Part B treatments, which must be administered by a healthcare professional.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2021, the FDA approved EMPAVELI (pegcetacoplan), the first targeted C3 therapy for the treatment of paroxysmal nocturnal hemoglobinuria, or PNH. EMPAVELI is approved for use in adults with PNH and can be used by patients who are either treatment-naïve or who are switching from C5 inhibitors eculizumab or ravulizumab. We believe that EMPAVELI has the potential to elevate the standard of care in PNH and are seeking to establish EMPAVELI as the preferred first-line treatment for patients. In the United States, there are approximately 1,500 patients with PNH currently being treated with C5 inhibitors and another 150 patients who are expected to be newly diagnosed each year. In October 2023, the FDA approved the EMPAVELI injector, a compact, single-use, on-body device designed to enhance self-administration of EMPAVELI. For the years ended December 31, 2023 and 2022, we generated $91.0 million and $65.1 million, respectively, in net product revenue from sales of EMPAVELI.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2021, the European Commission, or the EC, approved Aspaveli (pegcetacoplan) for the treatment of adults with PNH who are anemic after treatment with a C5 inhibitor for at least three months. In January 2024, following the submission of the Phase 3 PRINCE data in treatment-naïve PNH patients, the EC updated the Aspaveli indication statement to include all PNH patients with hemolytic anemia. To date, systemic pegcetacoplan has also been approved for the treatment of PNH in Japan, Saudi Arabia, Australia, the United Kingdom and other jurisdictions. Systemic pegcetacoplan is currently marketed under the trade name EMPAVELI in the United States, Saudi Arabia and Australia and Aspaveli in the European Union, Japan and United Kingdom. Under our collaboration and license agreement, or the Sobi collaboration agreement, with Swedish Orphan Biovitrum AB (Publ), or Sobi, Sobi has global co-development and exclusive ex-U.S. commercialization rights for systemic pegcetacoplan and initiated the commercial launch of EMPAVELI/Aspaveli in jurisdictions outside of the United States during the first quarter of 2022. We have commercialization rights for systemic pegcetacoplan in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inhibition of the complement system by targeting C3 may enable a broad range of therapeutic approaches, and that pegcetacoplan has the potential to address the limitations of existing treatment options or provide a treatment option in indications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where there currently are none. Under our collaboration with Sobi, we are leading the development of systemic pegcetacoplan in C3 glomerulopathy, or C3G, and immune complex membranoproliferative glomerulonephritis, or IC-MPGN, in nephrology. We are also evaluating the administration of systemic pegcetacoplan as a novel approach to enabling adeno associated virus, or AAV, vector administration for gene therapies.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our collaboration with Sobi, we are co-developing systemic pegcetacoplan for hematopoietic stem cell transplantation-associated thrombotic microangiopathy, or HSCT-TMA, in hematology. In January 2024, Sobi, with our agreement, discontinued the CASCADE Phase 3 trial evaluating systemic pegcetacoplan in patients with cold agglutinin disease, or CAD, due to the decreased medical need in CAD and the limited number of patients eligible for the CASCADE trial. In May 2023, we and Sobi announced that the Phase 2 MERIDIAN study evaluating systemic pegcetacoplan for amyotrophic lateral sclerosis, or ALS, did not meet its primary or key secondary endpoints. Based on this lack of efficacy, we and Sobi discontinued development of systemic pegcetacoplan for 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developing additional product candidates with other routes of administration. These candidates include APL-3007, a small interfering RNA, or siRNA, which is in a Phase 1 clinical trial in healthy volunteers, as well as an oral complement inhibitor in preclinical development. Furthermore, we are collaborating with Beam Therapeutics, Inc., or Beam, on up to six research programs focused on C3 and other complement targets in the eye, liver and brain, using Beam’s proprietary base editing technology to discover new treatments for complement-driven diseases.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and executing the commercial launch of our products and providing general and administrative support for these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third quarter of 2023, we effected a workforce reduction of approximately 225 employees, or approximately 25% of our then current workforce. Pursuant to the restructuring, we determined to (i) continue to support the U.S. commercial launch of SYFOVRE and prepare for potential ex-U.S. launches (ii) reduce EMPAVELI expenses through a more focused commercial and medical PNH organization, (iii) prioritize research initiatives in retina and central nervous system diseases and (iv) continue our collaboration with Beam. At that time, we estimated that the corporate restructuring and associated reduction in workforce would result in total cost savings of up to $300 million through 2024, including more than $70 million in expected net costs savings related to the reduction in workforce and up to $230 million related to elimination of planned external expenses. Our workforce reduction was substantially completed in the three months ended September 30, 2023. We do not expect to incur any material additional costs relating to the workforce reduction in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date, we have financed our operations primarily through $1.9 billion in net proceeds from public offerings of our common</w:t>
      </w:r>
    </w:p>
    <w:p>
      <w:pPr>
        <w:pStyle w:val="TextBody"/>
        <w:bidi w:val="0"/>
        <w:jc w:val="left"/>
        <w:rPr>
          <w:rFonts w:ascii="Times New Roman" w:hAnsi="Times New Roman"/>
          <w:color w:val="000000"/>
          <w:sz w:val="20"/>
        </w:rPr>
      </w:pPr>
      <w:r>
        <w:rPr>
          <w:rFonts w:ascii="Times New Roman" w:hAnsi="Times New Roman"/>
          <w:color w:val="000000"/>
          <w:sz w:val="20"/>
        </w:rPr>
        <w:t>Stock and pre-funded warrants to purchase common stock, $535.8 million in net proceeds from offerings of Convertible Notes, a $250.0 million up-front payment and $65.0 million development reimbursement payments from Sobi pursuant to the Sobi collaboration agreement, $112.6 million in proceeds from the private placement of shares of our convertible preferred stock prior to our initial public offering, or IPO, $140.0 million under the SFJ agreement, $20.0 million in proceeds from borrowings under a term loan facility with Silicon Valley Bank, and $7.0 million in proceeds from our issuance and sale of a promissory note. We have repaid the term loan facility and the promissory note in full, and we exchanged $425.4 million and converted $0.7 million of aggregate principal amount of our Convertible Notes for shares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incurred significant annual net operating losses in each year since our inception and expect to continue to incur net operating losses for at least this year. Our net losses were $528.6 million, $652.2 million, and $746.4 million for the years ended December 31, 2023, 2022 and 2021, respectively. As of December 31, 2023, we had an accumulated deficit of $2.8 billion.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the treatment of PNH and the commercialization of SYFOVRE for the treatment of GA. In addition, we expect to continue to incur these expenses if and as we continue to develop and conduct our ongoing and planned clinical trials of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i/>
          <w:color w:val="000000"/>
          <w:sz w:val="20"/>
        </w:rPr>
        <w:t>SFJ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28, 2019, we entered into a development funding agreement, which we refer to as the SFJ agreement, with SFJ Pharmaceuticals Group, or SFJ, under which SFJ agreed to provide funding to us to support the development of systemic pegcetacoplan for the treatment of patients with PNH. Pursuant to the agreement, SFJ paid us $60.0 million following the signing of the agreement and agreed to pay us up to an additional $60.0 million in the aggregate in three equal installments upon the achievement of specified development milestones with respect to our Phase 3 program for pegcetacoplan in PNH and subject to our having cash resources at the time sufficient to fund at least 10 months of our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2019 we amended the SFJ agreement to include an additional $20 million funding payment. SFJ paid us $80.0 million under the amended SFJ agreement between June 2019 and January 2020.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SFJ agreement, following regulatory approvals by the FDA and the EC for the use of systemic pegcetacoplan as a treatment for PNH, we paid SFJ $4.0 million in 2021 in connection with the FDA approval in May 2021 and $5.0 million in January 2022 in connection with the EC approval in December 2021. In addition, we paid $11.5 million in connection with the one-year anniversary of the FDA approval in May 2022 and $18.0 million in connection with the one-year anniversary of the EC approval in December 2022 and $24.5 million in connection with the two-year anniversary of FDA approval in May 2023 and $31.0 million in connection with the two-year anniversary of EC approval in December 2023. We are obligated to pay SFJ additional payments due on each anniversary of FDA and EC regulatory approval through 2027.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Convertible Notes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16, 2019, we completed a private offering of convertible notes, or the 2019 Convertible Notes, with an aggregate principal amount of $220.0 million issued pursuant to an indenture, or the Indenture, with U.S. Bank National Association, as trustee.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pStyle w:val="TextBody"/>
        <w:bidi w:val="0"/>
        <w:spacing w:before="200" w:after="283"/>
        <w:jc w:val="left"/>
        <w:rPr>
          <w:rFonts w:ascii="Times New Roman" w:hAnsi="Times New Roman"/>
          <w:sz w:val="20"/>
        </w:rPr>
      </w:pPr>
      <w:r>
        <w:rPr>
          <w:rFonts w:ascii="Times New Roman" w:hAnsi="Times New Roman"/>
          <w:color w:val="000000"/>
          <w:sz w:val="20"/>
        </w:rPr>
        <w:t>On May 12, 20</w:t>
      </w:r>
      <w:r>
        <w:rPr>
          <w:rFonts w:ascii="Times New Roman" w:hAnsi="Times New Roman"/>
          <w:color w:val="212529"/>
          <w:sz w:val="20"/>
        </w:rPr>
        <w:t xml:space="preserve">20, we issued convertible notes, or the 2020 Convertible Notes, with an aggregate principal amount of $300.0 million. The net proceeds from the sale of the 2020 Convertible Notes were approximately $322.9 after deducting the purchasers’ discounts and commission of $5.7 million and offering expenses of $0.3 million. We used $43.1 million of the net proceeds from the sale to pay the cost of the additional capped call transactions in May 2020 described below. </w:t>
      </w:r>
    </w:p>
    <w:p>
      <w:pPr>
        <w:pStyle w:val="TextBody"/>
        <w:bidi w:val="0"/>
        <w:spacing w:before="200" w:after="283"/>
        <w:jc w:val="left"/>
        <w:rPr>
          <w:rFonts w:ascii="Times New Roman" w:hAnsi="Times New Roman"/>
          <w:sz w:val="20"/>
        </w:rPr>
      </w:pPr>
      <w:r>
        <w:rPr>
          <w:rFonts w:ascii="Times New Roman" w:hAnsi="Times New Roman"/>
          <w:color w:val="000000"/>
          <w:sz w:val="20"/>
        </w:rPr>
        <w:t>The 2019 Conve</w:t>
      </w:r>
      <w:r>
        <w:rPr>
          <w:rFonts w:ascii="Times New Roman" w:hAnsi="Times New Roman"/>
          <w:color w:val="212529"/>
          <w:sz w:val="20"/>
        </w:rPr>
        <w:t>rtible Notes and the 2020 Convertible Notes are referred to together as the Convertible Notes. The Convertible Notes are our senior 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 governing the Convertible Notes, or the Indenture.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March 15, 2026, the Convertible Notes are convertible only under the following circumstances: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call any or all of the Convertible Notes for redemption, at any time prior to the close of business on the second scheduled trading day immediately preceding the redemption date;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corporate events specified in the Indenture.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or deliver, as the case may be, cash, shares of our common stock or a combination of cash and shares of common stock, at our election.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used an effective interest rate of 10.5% to determine the liability component of the 2019 and 2020 Convertible Notes. This resulted in the recognition of $145.1 million and $204.5 million as the liability component of the 2019 and 2020 Convertible Notes, respectively, and the recognition of the residual amount of $74.9 million and $95.5 million as the debt discount with a corresponding increase to additional paid in capital for the equity component of the 2019 and 2020 Convertible Notes, respectively. The 2020 Convertible Notes aggregate debt issuance costs of $6.0 million were allocated to the liability and equity components in the amounts of $3.7 and $2.3 million, respectively. The 2019 Convertible Notes aggregate debt issuance costs of $7.1 million were allocated to the liability and equity components in the amounts of $4.7 million and $2.4 million, respectively.</w:t>
      </w:r>
    </w:p>
    <w:p>
      <w:pPr>
        <w:pStyle w:val="TextBody"/>
        <w:bidi w:val="0"/>
        <w:jc w:val="left"/>
        <w:rPr>
          <w:rFonts w:ascii="Times New Roman" w:hAnsi="Times New Roman"/>
          <w:color w:val="000000"/>
          <w:sz w:val="20"/>
        </w:rPr>
      </w:pPr>
      <w:r>
        <w:rPr>
          <w:rFonts w:ascii="Times New Roman" w:hAnsi="Times New Roman"/>
          <w:color w:val="000000"/>
          <w:sz w:val="20"/>
        </w:rPr>
        <w:t>In January 2021, July 2021 and July 2022, we entered into separate, privately negotiated exchange agreements to modify the conversion terms with certain holders of the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we issued. In accordance with ASC Topic 470-20, “Debt – Debt with Conversion and Other Options,” or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pStyle w:val="TextBody"/>
        <w:bidi w:val="0"/>
        <w:jc w:val="left"/>
        <w:rPr>
          <w:rFonts w:ascii="Times New Roman" w:hAnsi="Times New Roman"/>
          <w:color w:val="000000"/>
          <w:sz w:val="20"/>
        </w:rPr>
      </w:pPr>
      <w:r>
        <w:rPr>
          <w:rFonts w:ascii="Times New Roman" w:hAnsi="Times New Roman"/>
          <w:color w:val="000000"/>
          <w:sz w:val="20"/>
        </w:rPr>
        <w:t>As a result of the January 2021 exchange transactions, we reduced net debt outstanding and increased net equity on the consolidated balance sheet by $122.8 million, consisting of the par value of the 2019 Convertible Notes exchanged of $126.1 million less the $3.3 million of remaining debt issuance costs associated with the exchanged notes. We also increased shares outstanding by 3,906,869 shares consisting of 3,196,172 shares issued at the initial conversion rate in the Indenture of 25.3405 plus an additional 710,697 shares. Additionally, we issued 69,491 shares as settlement of debt issuance costs paid to our financial advisor in connection with the exchange transaction. For the three months ended March 31, 2021, we recorded a loss on conversion of debt of $39.5 million comprised of $36.4 million related to the value of the shares issued in excess of the original conversion terms at the fair market value and $3.1 million for the value of the 69,491 shares issued in payment of issuance costs at their then fair value. Upon exchange of the 2019 Convertible Notes, the holders forfeited accrued interest through the date of the exchange of $1.7 million, which we charged to interest expense and to equity.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the July 2021 exchange transactions, we reduced net debt outstanding and increased net equity on the consolidated balance sheet by $197.0 million, consisting of the par value of the Convertible Notes exchanged of $201.1 million less the $4.1 million of remaining debt issuance costs associated with the exchanged notes. We also increased shares outstanding by 5,992,217 shares consisting of 5,097,166 shares issued at the initial conversion rate in the Indenture of 25.3405 plus an additional 895,051 shares. Additionally, we issued 78,419 shares as settlement of issuance costs paid to our financial advisor in connection with the exchange transaction. For the three months ended September 30, 2021, we recorded a loss on conversion of debt of $61.1 million comprised of $55.9 million related to the value of the shares issued in excess of the original conversion terms at the fair market value and $5.2 million for the value of the 78,419 shares issued in payment of issuance costs at their then fair value. Upon exchange of the Convertible Notes, the holders forfeited accrued interest through the date of the exchange of $2.5 million, which we charged to interest expense and to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As a result of the July 2022 exchange transactions, we reduced net debt outstanding and increased net equity on the consolidated balance sheet by $96.8 million, consisting of the par value of the Convertible Notes exchanged of $98.1 million less the $1.3 million of remaining debt issuance costs associated with the exchanged notes. We also increased shares outstanding by 3,027,018 shares consisting of 2,485,548 shares issued at the initial conversion rate in the Indenture of 25.3405 plus an additional 541,470 shares. Additionally, we issued 46,132 shares as settlement of issuance costs paid to our financial advisor in connection with the exchange transaction. For the three months ended September 30, 2022, we recorded a loss on conversion of debt of $32.9 million comprised of $30.4 million related to the value of the shares issued in excess of the original conversion terms at the fair market value and $2.5 million for the value of the 46,132 shares issued in payment of issuance costs at their then fair value. Upon exchange of the Convertible Notes, the holders forfeited accrued interest through the date of the exchange of $1.3 million, which we charged to interest expense and to equity.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conditional conversion feature of the Convertible Notes was triggered as of June 30, 2021, and as a result the Convertible Notes were convertible at the option of the holders until September 30, 2021. During this period, certain holders of the Convertible Notes converted approximately $0.7 million of aggregate principal amount of Convertible Notes into an aggregate of 18,775 shares, which were issued in October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conditional conversion feature of the Convertible Notes was again triggered as of December 31, 2023, and as a result the Convertible Notes are convertible at the option of the holders until March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we held in treasury Convertible Notes in principal amount of $425.4 million which notes had not been cancelled. Approximately $93.9 million principal amount of Convertible Notes remained outstanding and held by third parties as of December 31,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Capped Call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In September 2019 and May 2020, concurrently with the pricing of the 2019 Convertible Notes and 2020 Convertible Notes, respectively, we entered into capped call transactions with two counterparties. The capped call transactions are expected generally to reduce the potential dilution to our common stock upon any conversion of Convertible Notes and/or offset any cash payments we are required to make in excess of the principal amount of converted Convertible Notes, as the case may be, in the event that the market price per share of our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our common stock, as measured under the terms of the capped call transactions, exceeds $63.14, the cap price of the capped call transactions, there would nevertheless be dilution and/or there would not be an offset of such potential cash payments, in each case, to the extent that such market price exceeds the cap price of the capped call transactions.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Agreement with Sobi</w:t>
      </w:r>
    </w:p>
    <w:p>
      <w:pPr>
        <w:pStyle w:val="TextBody"/>
        <w:bidi w:val="0"/>
        <w:spacing w:before="200" w:after="283"/>
        <w:jc w:val="left"/>
        <w:rPr>
          <w:rFonts w:ascii="Times New Roman" w:hAnsi="Times New Roman"/>
          <w:sz w:val="20"/>
        </w:rPr>
      </w:pPr>
      <w:r>
        <w:rPr>
          <w:rFonts w:ascii="Times New Roman" w:hAnsi="Times New Roman"/>
          <w:color w:val="212529"/>
          <w:sz w:val="20"/>
        </w:rPr>
        <w:t xml:space="preserve">On October 27, 2020, we entered into the Sobi collaboration agreement, concerning the development and commercialization of pegcetacoplan </w:t>
      </w:r>
      <w:r>
        <w:rPr>
          <w:rFonts w:ascii="Times New Roman" w:hAnsi="Times New Roman"/>
          <w:color w:val="000000"/>
          <w:sz w:val="20"/>
        </w:rPr>
        <w:t>and 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agreement, Sobi made an upfront payment of $250.0 million in November 2020, and agreed to pay up to an aggregate of $915.0 million upon the achievement of specified one-time regulatory and commercial milestone events, of which we received $50.0 million in April 2022 for the achievement of a regulatory development milestone in Europe and $5.0 million in October 2023 for the achievement of a regulatory development milestone in Japan. Following our and Sobi’s decision to discontinue development of systemic pegcetacoplan for CAD and ALS, we will not achieve the milestones related to those indications, which represent $120.0 million of the $915.0 million aggregate amount. Sobi also agreed to reimburse us for up to $80.0 million in development costs, of which we received $25.0 million in January 2021, $20.0 million in January 2022 and $20.0 million in January 2023. In January 2024, we waived the payment of the final reimbursement payment of $15.0 million in connection with the decision to discontinue the CAD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remain responsible for our license fee obligations (including royalty obligations) to the University of Pennsylvania and for our payment obligations to SFJ.</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revenues consist of product sales of EMPAVELI and SYFOVRE, and revenues derived from our collaboration arrangement with Sobi.</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Product Revenues</w:t>
      </w:r>
    </w:p>
    <w:p>
      <w:pPr>
        <w:pStyle w:val="TextBody"/>
        <w:bidi w:val="0"/>
        <w:spacing w:before="200" w:after="283"/>
        <w:jc w:val="left"/>
        <w:rPr>
          <w:rFonts w:ascii="Times New Roman" w:hAnsi="Times New Roman"/>
          <w:sz w:val="20"/>
        </w:rPr>
      </w:pPr>
      <w:r>
        <w:rPr>
          <w:rFonts w:ascii="Times New Roman" w:hAnsi="Times New Roman"/>
          <w:color w:val="000000"/>
          <w:sz w:val="20"/>
        </w:rPr>
        <w:t>Product revenue is derived from our sales of our commercial products, EMPAVELI and SYFOVRE, in the United States</w:t>
      </w:r>
      <w:r>
        <w:rPr>
          <w:rFonts w:ascii="Times New Roman" w:hAnsi="Times New Roman"/>
          <w:color w:val="212529"/>
          <w:sz w:val="20"/>
        </w:rPr>
        <w: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Licensing and Collaboration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pStyle w:val="TextBody"/>
        <w:bidi w:val="0"/>
        <w:spacing w:before="20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sales consists primarily of costs associated with the manufacturing of EMPAVELI and SYFOVRE, royalties owed to our licensor for such sales, and certain period costs.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drug discovery efforts, and the development of our product candidates,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and share-based compensation expense related to individuals performing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consultants, including share-based compensation expense;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other expenses incident to the management of our preclinical studies and clinical trials.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by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successful development of our product candidates is highly uncertain. Accordingly, at this time, we cannot reasonably estimate the nature, timing and costs of the efforts that will be necessary to complete the remainder of the development of these product candidates. We are also unable to predict when, if ever, material net cash inflows will commence from pegcetacoplan or any other potential product candidates. This is due to the numerous risks and uncertainties associated with developing therapeutics, including the uncertainties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profile in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the products, if and when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acceptable safety profile of the products following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any of our product candidates would significantly change the costs and timing associated with the development of that product candidate.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consist primarily of employee-related expenses including salaries, bonuses, benefits and share-based compensation. Other significant costs include facility costs not otherwise included in research and development expenses, legal fees relating to patent and corporate matters, and fees for accounting and consulting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in the future to support continued research and development activities, potential commercialization of our product candidates and costs of operating as a public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Note 2 in the notes to our consolidated financial statements included elsewhere in this Annual Report on Form 10-K, we believe that the following accounting policies are the most critical to aid you in fully understanding and evaluating our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our revenues from net product sales were generated in the United States following the FDA’s approval for marketing of EMPAVELI for the treatment of PNH in May 2021 and SYFOVRE for the treatment of GA in February 2023. We sell EMPAVELI and SYFOVRE principally through arrangements with specialty pharmacies, or SPs, and specialty distributors, or SDs, who are our customers. The customers subsequently resell the product to patients and health care providers.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account for contracts with its customers in accordance with ASC 606. Pursuant to ASC 606, for arrangements or transactions between arrangement participants determined to be within the scope of the contracts with customers guidance, we perform the following five steps to determine the appropriate amount of revenue to be recognized as we fulfill our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we satisfy each performance obligation.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We recognize revenue from product sales at the net sales price which includes estimates of variable consideration for which reserves are established and reflects each of these as a reduction to the revenue. Overall, these reserves reflect our best estimates of the amount of consideration to which we are entitled based on the terms of the contract. The amount of variable consideration that is included in the transaction price may be constrained. Actual amounts of consideration ultimately received may differ from our estimates. If actual results in the future vary from estimates, we may need to adjust its estimates, which would affect net revenue in the period of adjustment. The following are our significant categories of sales discounts and allowances: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Distribution Fees: Distribution fees include distribution service fees paid to SPs and SDs based on a contractually fixed percentage of the wholesale acquisition cost, or WAC. We do not receive a distinct good or service in exchange for the payment.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Distribution fees are recorded as an offset to revenue based on contractual terms at the time revenue from the sale is recognized.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Chargebacks: Chargebacks are discounts and fees related to contracts with various third-party payers including pharmacy benefit managers, private healthcare insurers and government healthcare programs that purchase from SDs at a discounted price. SDs charge back to us the difference between the price initially paid by SDs and the discounted price paid to SDs by these entities. We issue credit notes for the chargeback which are applied to future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 Returns: Consistent with industry practice, we offer SPs and SDs limited product return rights for damages, shipment errors, and expiring product; provided that the return is within a specified period around the product expiration date as set forth in the</w:t>
      </w:r>
    </w:p>
    <w:p>
      <w:pPr>
        <w:pStyle w:val="TextBody"/>
        <w:bidi w:val="0"/>
        <w:jc w:val="left"/>
        <w:rPr>
          <w:rFonts w:ascii="Times New Roman" w:hAnsi="Times New Roman"/>
          <w:color w:val="000000"/>
          <w:sz w:val="20"/>
        </w:rPr>
      </w:pPr>
      <w:r>
        <w:rPr>
          <w:rFonts w:ascii="Times New Roman" w:hAnsi="Times New Roman"/>
          <w:color w:val="000000"/>
          <w:sz w:val="20"/>
        </w:rPr>
        <w:t>applicable individual distribution agreement. We do not allow product returns for product that has been dispensed to a patient. As we receive inventory reports from SPs and SDs and have visibility into the inventory distribution channel, we are able to make a reasonable estimate of future potential product returns based on this on-hand channel inventory data and sell-through data obtained from SPs and SDs. In arriving at our estimate for product returns, we also consider historical product returns, the underlying product demand, and industry data specific to the specialty pharmaceutical distribution industry.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Licensing Revenue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27, 2020, we entered into the collaboration agreement with Sobi concerning the development and commercialization of pegcetacoplan and specified other compstatin analogues or derivatives for use systemically or for local non-ophthalmic administration, collectively referred to as the Licensed Products. See “Business—Collaboration and License Agreement with Sobi” for a description of the key terms of our collaboration agreement with Sobi.</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determined that the collaboration agreement is within the scope of ASC Topic 808, </w:t>
      </w:r>
      <w:r>
        <w:rPr>
          <w:rFonts w:ascii="Times New Roman" w:hAnsi="Times New Roman"/>
          <w:i/>
          <w:color w:val="000000"/>
          <w:sz w:val="20"/>
        </w:rPr>
        <w:t xml:space="preserve">Collaborative Arrangements, </w:t>
      </w:r>
      <w:r>
        <w:rPr>
          <w:rFonts w:ascii="Times New Roman" w:hAnsi="Times New Roman"/>
          <w:color w:val="000000"/>
          <w:sz w:val="20"/>
        </w:rPr>
        <w:t xml:space="preserve">or ASC 808, as a contractual arrangement that involves a joint operating activity whereby both parties are (i) active participants in the activity and (ii) exposed to certain significant risks and rewards dependent on the commercial success of the activity. ASC Topic 808 does not address measurement or recognition matters but allows for analogizing to ASC 606, </w:t>
      </w:r>
      <w:r>
        <w:rPr>
          <w:rFonts w:ascii="Times New Roman" w:hAnsi="Times New Roman"/>
          <w:i/>
          <w:color w:val="000000"/>
          <w:sz w:val="20"/>
        </w:rPr>
        <w:t>Revenue from Contracts with Customers</w:t>
      </w:r>
      <w:r>
        <w:rPr>
          <w:rFonts w:ascii="Times New Roman" w:hAnsi="Times New Roman"/>
          <w:color w:val="000000"/>
          <w:sz w:val="20"/>
        </w:rPr>
        <w:t>, or ASC 606. Pursuant to ASC 606, we performed the following five steps: (i) identified the contract with a customer; (ii) identified the performance obligations in the contract; (iii) determined the transaction price; (iv) allocated the transaction price to the performance obligations in the contract; and (v) recognized revenue when the entity satisfied a performance obligation.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identified the following material promises under the Sobi Agreement: (1) licenses to develop and commercialize pegcetacoplan, or Licenses to IP, and (2) performance of research and development services. We determined the promises to be distinct because Sobi can benefit from each of the license and the development services on their own or with readily available services. We could have provided the license without any development services and Sobi would have been able to benefit from it by obtaining development services from another provider as the Licensed Products are at a more mature stage in their life cycle.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inception of the collaboration agreement, we considered the $250.0 million non-refundable payment and the $80.0 million fixed proceeds. We also evaluated whether Sobi is a customer for either of the distinct promises in the agreement. Under the Licenses to IP, we determined that Sobi is a customer as the know-how provided and the rights granted by us to Sobi are outputs of our business activities for which we will receive consideration. With respect to research and development activity, management determined that there is no vendor relationship as performing research and development activities for others is not a part of our ongoing central operations. Based upon the evaluation of the relative fair values, we allocated the purchase price of $250.0 million and the related milestones and royalties to the license of IP and $80.0 million to performance of research and development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milestone and royalty payments are subject to activities outside our control. Per ASC 606, we consider this to be a customer/ vendor relationship; therefore, we will include the regulatory milestone payments in the total transaction price when it is probable that a significant reversal of revenue would not occur in a future period. We will recognize commercial milestone and royalty revenue at the later of (i) when the related sales occur or (ii) when the performance obligation to which the commercial milestone or royalty has been allocated has been satisfied. In case of commercial milestone or royalty payments, we will recognize revenue in the same period that the sales are completed for which we are contractually entitled to the milestone or percentage-based royalty payment. For the year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ended December 31, 2023, we have recognized $10.0 million of royalty revenue. Management periodically assesses the elements of the contract and re-evaluate revenue recognition as necessary.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ASC 606, the $250.0 million non-refundable upfront payment is recognized as revenue as this is the amount allocated to the license. The $80.0 million reimbursement for research and development activities does not constitute a customer/vendor relationship and, thus, is not in the scope of ASC 606. As ASC 808 does not include recognition guidance we have established an accounting policy to recognize the payments under the reimbursement as a receivable on the balance sheet in an amount that is to be reimbursed based upon expense incurred by us, with a contra- research and development expense recognized in the statement of operations, over time as the expenses are incurred. See Note 12, License and Collaboration Agreements, included in the Notes to Consolidated Financial Statements included in this Annual Report on Form 10-K, for more information related to the Sobi Collaboration and License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Research Collaboration Arrangement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analyze research collaboration arrangements pursuant to ASC 808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If each party is actively participating in this activity and exposed to significant risks and rewards related to the activity, each party’s costs will be accounted for under ASC 808.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ASC 808 does not provide recognition guidance, we refer to the guidance under ASC 730 to arrangements involving our payments to third parties. ASC 730 requires us to recognize research and developments costs as expense as incurred since there is no alternative use. See Note 12, License and Collaboration Agreements, in the Notes to Consolidated Financial Statements included in this Annual Report on Form 10-K for more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Inventory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Inventory is recorded at the lower of cost or net realizable value, with cost determined on a first-in, first-out basis. Inventory costs include third-party contract manufacturing, third-party packaging services, and freight. We perform an assessment of the recoverability of capitalized inventory during each reporting period and write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If actual market conditions are less favorable than projected by management, additional write-downs of inventory may be required which would be recorded as a cost of sales in the consolidated statements of operations and comprehensive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regulatory approval of our product candidates, we expense costs associated with the manufacture of our product candidates to research and development expense unless we are reasonably certain such costs have future commercial use and net realizable value. When we believe regulatory approval and subsequent commercialization of our product candidates is probable, and we also expect future economic benefit from the sales of the product candidates to be realized, we will then capitalize the costs of production as inventory. Inventory that can be used in either the production of clinical or commercial product is expensed as research and development expense when selected for use in a clinical manufacturing campaign.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receiving FDA approval for EMPAVELI and SYFOVRE the costs associated with the manufacturing of EMPAVELI and SYFOVRE inventory were expensed as incurred as research and development expense. As a result, the manufacturing costs related to the EMPAVELI and SYFOVRE inventory build-up incurred before FDA approval were already expensed in a prior period and are therefore excluded from the 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Shipping and handling costs for product shipments are recorded as incurred in cost of sales along with costs associated with manufacturing the product and any inventory write-downs.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Accrued 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services performed by CROs and contract manufacturing organizations, or CMOs, in connection with research and development activities for which we have not yet been invoiced.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base our expenses related to CROs and CMOs on our estimates of the services received and efforts expended pursuant to quotes and contracts with CROs and CMOs. The financial terms of these agreements are subject to negotiation, vary from contract to contract and may result in uneven payment flows. There may be instances in which payments made to our CROs and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expense amounts that are too high or too low in any particular period. To date, there have been no material differences between our estimates of such expenses and the amounts actually incurred.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Convertible Notes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16, 2019, we completed a private offering of the 2019 Convertible Notes with an aggregate principal amount of $220.0 million. On May 12, 2020, we issued the 2020 Convertible Notes with an aggregate principal amount of $300.0 million.</w:t>
      </w:r>
    </w:p>
    <w:p>
      <w:pPr>
        <w:pStyle w:val="TextBody"/>
        <w:bidi w:val="0"/>
        <w:spacing w:before="200" w:after="283"/>
        <w:jc w:val="left"/>
        <w:rPr>
          <w:rFonts w:ascii="Times New Roman" w:hAnsi="Times New Roman"/>
          <w:sz w:val="20"/>
        </w:rPr>
      </w:pPr>
      <w:r>
        <w:rPr>
          <w:rFonts w:ascii="Times New Roman" w:hAnsi="Times New Roman"/>
          <w:color w:val="212529"/>
          <w:sz w:val="20"/>
        </w:rPr>
        <w:t xml:space="preserve">The Convertible Notes are convertible into shares of our common stock at an initial conversion rate of 25.3405 shares per $1,000 principal amount of the </w:t>
      </w:r>
      <w:r>
        <w:rPr>
          <w:rFonts w:ascii="Times New Roman" w:hAnsi="Times New Roman"/>
          <w:color w:val="000000"/>
          <w:sz w:val="20"/>
        </w:rPr>
        <w:t>Convertible Notes,</w:t>
      </w:r>
      <w:r>
        <w:rPr>
          <w:rFonts w:ascii="Times New Roman" w:hAnsi="Times New Roman"/>
          <w:color w:val="212529"/>
          <w:sz w:val="20"/>
        </w:rPr>
        <w:t xml:space="preserve">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are required to increase the conversion rate for a holder who elects to convert its notes in connection with such corporate event or a notice of redemption, as the case may be, in certain circumstances as provided in the Indenture. </w:t>
      </w:r>
      <w:r>
        <w:rPr>
          <w:rFonts w:ascii="Times New Roman" w:hAnsi="Times New Roman"/>
          <w:color w:val="000000"/>
          <w:sz w:val="20"/>
        </w:rPr>
        <w:t>The Convertible Notes are subject to redemption at our option, as of September 20, 2023, if certain conditions are met. The redemption price is equal to 100% of the principal amount of the notes to be redeemed, plus accrued and unpaid interest to, but excluding, the redemption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January 2021, July 2021 and July 2022, we entered into separate, privately negotiated exchange agreements to modify the conversion terms with certain holders of the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us. In accordance with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result of the January 2021 exchange transactions, we reduced net debt outstanding and increased net equity on the consolidated balance sheet by $122.8 million, consisting of the par value of the 2019 Convertible Notes exchanged of $126.1 million less the $3.3 million of remaining debt issuance costs associated with the exchanged notes. We also increased shares outstanding by 3,906,869 shares consisting of 3,196,172 shares issued at the initial conversion rate in the Indenture of 25.3405 plus an additional 710,697 shares. Additionally, we issued 69,491 shares as settlement of debt issuance costs paid to our financial advisor in connection with the exchange transaction.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Asa result of the July 2021 exchange transactions, we reduced net debt outstanding and increased net equity on the consolidated balance sheet by $197.0 million, consisting of the par value of the Convertible Notes exchanged of $201.1 million less the $4.1 million of remaining debt issuance costs associated with the exchanged notes. We also increased shares outstanding by 5,992,217 shares consisting of 5,097,166 shares issued at the initial conversion rate in the Indenture of 25.3405 plus an additional 895,051 shares. Additionally, we issued 78,419 shares as settlement of issuance costs paid to our financial advisor in connection with the exchange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July 2022 exchange transactions, we reduced net debt outstanding and increased net equity on the consolidated balance sheet by $96.8 million, consisting of the par value of the Convertible Notes exchanged of $98.1 million less the $1.3 million of remaining debt issuance costs associated with the exchanged notes. We also increased shares outstanding by 3,027,018 shares consisting of 2,485,548 shares issued at the initial conversion rate in the Indenture of 25.3405 plus an additional 541,470 shares. Additionally, we issued 46,132 shares as settlement of issuance costs paid to our financial advisor in connection with the exchange transaction.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conditional conversion feature of the Convertible Notes was triggered as of June 30, 2021, and as a result the Convertible Notes were convertible at the option of the holders until September 30, 2021. During this period, certain holders of the Convertible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Notes converted approximately $0.7 million of aggregate principal amount of Convertible Notes into an aggregate of 18,775 shares, which were issued in October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conditional conversion feature of the Convertible Notes was triggered as of December 31, 2023, and as a result the Convertible Notes are convertible at the option of the holders until March 31, 2024. </w:t>
      </w:r>
    </w:p>
    <w:p>
      <w:pPr>
        <w:pStyle w:val="TextBody"/>
        <w:bidi w:val="0"/>
        <w:spacing w:before="200" w:after="283"/>
        <w:jc w:val="left"/>
        <w:rPr>
          <w:rFonts w:ascii="Times New Roman" w:hAnsi="Times New Roman"/>
          <w:sz w:val="20"/>
        </w:rPr>
      </w:pPr>
      <w:r>
        <w:rPr>
          <w:rFonts w:ascii="Times New Roman" w:hAnsi="Times New Roman"/>
          <w:color w:val="212529"/>
          <w:sz w:val="20"/>
        </w:rPr>
        <w:t xml:space="preserve">As of December 31 2023, we held $425.4 million principal of exchanged notes in treasury and such notes have not been cancelled. </w:t>
      </w:r>
      <w:r>
        <w:rPr>
          <w:rFonts w:ascii="Times New Roman" w:hAnsi="Times New Roman"/>
          <w:color w:val="000000"/>
          <w:sz w:val="20"/>
        </w:rPr>
        <w:t>Approximately $93.9 million principal amount of Convertible Notes was outstanding and held by third parties as of December 31, 2023.</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Capped Call Transactions</w:t>
      </w:r>
    </w:p>
    <w:p>
      <w:pPr>
        <w:pStyle w:val="TextBody"/>
        <w:bidi w:val="0"/>
        <w:spacing w:before="200" w:after="283"/>
        <w:jc w:val="left"/>
        <w:rPr>
          <w:rFonts w:ascii="Times New Roman" w:hAnsi="Times New Roman"/>
          <w:sz w:val="20"/>
        </w:rPr>
      </w:pPr>
      <w:r>
        <w:rPr>
          <w:rFonts w:ascii="Times New Roman" w:hAnsi="Times New Roman"/>
          <w:color w:val="212529"/>
          <w:sz w:val="20"/>
        </w:rPr>
        <w:t xml:space="preserve">On September 11, 2019, and May 6, 2020, concurrently with the pricing of the 2019 </w:t>
      </w:r>
      <w:r>
        <w:rPr>
          <w:rFonts w:ascii="Times New Roman" w:hAnsi="Times New Roman"/>
          <w:color w:val="000000"/>
          <w:sz w:val="20"/>
        </w:rPr>
        <w:t>Convertible Notes and 2020 Convertible Notes, respectively</w:t>
      </w:r>
      <w:r>
        <w:rPr>
          <w:rFonts w:ascii="Times New Roman" w:hAnsi="Times New Roman"/>
          <w:color w:val="212529"/>
          <w:sz w:val="20"/>
        </w:rPr>
        <w:t xml:space="preserve">, we entered into capped call transactions with two counterparties. The capped call transactions are expected generally to reduce the potential dilution to our common stock upon any conversion of notes and/or offset any cash payments we are required to make in excess of the principal amount of the </w:t>
      </w:r>
      <w:r>
        <w:rPr>
          <w:rFonts w:ascii="Times New Roman" w:hAnsi="Times New Roman"/>
          <w:color w:val="000000"/>
          <w:sz w:val="20"/>
        </w:rPr>
        <w:t>Convertible Notes</w:t>
      </w:r>
      <w:r>
        <w:rPr>
          <w:rFonts w:ascii="Times New Roman" w:hAnsi="Times New Roman"/>
          <w:color w:val="212529"/>
          <w:sz w:val="20"/>
        </w:rPr>
        <w:t xml:space="preserve">, as the case may be, in the event that the market price per share of our common stock, as measured under the terms of the capped call transactions, is greater than the strike price of the capped call transactions, which is initially $39.4625 (the conversion price of the </w:t>
      </w:r>
      <w:r>
        <w:rPr>
          <w:rFonts w:ascii="Times New Roman" w:hAnsi="Times New Roman"/>
          <w:color w:val="000000"/>
          <w:sz w:val="20"/>
        </w:rPr>
        <w:t>Convertible Notes</w:t>
      </w:r>
      <w:r>
        <w:rPr>
          <w:rFonts w:ascii="Times New Roman" w:hAnsi="Times New Roman"/>
          <w:color w:val="212529"/>
          <w:sz w:val="20"/>
        </w:rPr>
        <w:t>) and is subject to anti-dilution adjustments substantially similar to those applicable to the conversion rate of such notes. If, however, the market price per share of our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Development Liability</w:t>
      </w:r>
    </w:p>
    <w:p>
      <w:pPr>
        <w:pStyle w:val="TextBody"/>
        <w:bidi w:val="0"/>
        <w:jc w:val="both"/>
        <w:rPr/>
      </w:pPr>
      <w:r>
        <w:rPr/>
        <w:t> </w:t>
      </w:r>
    </w:p>
    <w:p>
      <w:pPr>
        <w:pStyle w:val="TextBody"/>
        <w:bidi w:val="0"/>
        <w:jc w:val="left"/>
        <w:rPr>
          <w:rFonts w:ascii="Times New Roman" w:hAnsi="Times New Roman"/>
          <w:color w:val="212529"/>
          <w:sz w:val="20"/>
        </w:rPr>
      </w:pPr>
      <w:r>
        <w:rPr>
          <w:rFonts w:ascii="Times New Roman" w:hAnsi="Times New Roman"/>
          <w:color w:val="212529"/>
          <w:sz w:val="20"/>
        </w:rPr>
        <w:t>On May 14, 2021, we obtained regulatory approval of EMPAVELI in the United States from the FDA. On December 15, 2021, we obtained regulatory approval in the European Union from the EMA. Following the FDA and EMA approvals, we are obligated to make payments following pre-determined fixed payment schedules as set forth in the SFJ agreement and SFJ amendment to pay SFJ the initial and subsequent annual payments totaling $456.0 million as of December 31, 2021 (excluding the $4.0 million initial payment for FDA approval made in June 2021) with the initial payment for EMA approval of $5.0 million due January 2022, which we paid in January 2022, and final annual payment due December 2027. From December 15, 2021 and thereafter until the final annual payment is due in December 2027, the development liability will be accreted from its initial carrying amount to the total payment amount using the effective interest rate method under ASC 835 over the remaining life of the SFJ agreement. The difference between the carrying amount and the total payment amount is presented as discount to the development liability. The accretion is recorded as interest expense in the consolidated income statement.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Years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2023 and 2022, together with the dollar increase or decrease and percentage change in those items:</w:t>
      </w:r>
    </w:p>
    <w:p>
      <w:pPr>
        <w:pStyle w:val="TextBody"/>
        <w:bidi w:val="0"/>
        <w:jc w:val="left"/>
        <w:rPr/>
      </w:pPr>
      <w:r>
        <w:rPr/>
        <w:t> </w:t>
      </w:r>
    </w:p>
    <w:tbl>
      <w:tblPr>
        <w:tblW w:w="7900" w:type="dxa"/>
        <w:jc w:val="left"/>
        <w:tblInd w:w="0" w:type="dxa"/>
        <w:tblLayout w:type="fixed"/>
        <w:tblCellMar>
          <w:top w:w="28" w:type="dxa"/>
          <w:left w:w="28" w:type="dxa"/>
          <w:bottom w:w="28" w:type="dxa"/>
          <w:right w:w="28" w:type="dxa"/>
        </w:tblCellMar>
      </w:tblPr>
      <w:tblGrid>
        <w:gridCol w:w="2631"/>
        <w:gridCol w:w="211"/>
        <w:gridCol w:w="841"/>
        <w:gridCol w:w="166"/>
        <w:gridCol w:w="146"/>
        <w:gridCol w:w="211"/>
        <w:gridCol w:w="841"/>
        <w:gridCol w:w="166"/>
        <w:gridCol w:w="146"/>
        <w:gridCol w:w="211"/>
        <w:gridCol w:w="781"/>
        <w:gridCol w:w="166"/>
        <w:gridCol w:w="146"/>
        <w:gridCol w:w="153"/>
        <w:gridCol w:w="508"/>
        <w:gridCol w:w="576"/>
      </w:tblGrid>
      <w:tr>
        <w:trPr/>
        <w:tc>
          <w:tcPr>
            <w:tcW w:w="2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shd w:fill="FFFFFF" w:val="cle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ind w:left="0" w:right="0" w:firstLine="200"/>
              <w:jc w:val="left"/>
              <w:rPr/>
            </w:pPr>
            <w:r>
              <w:rPr/>
              <w:t> </w:t>
            </w:r>
          </w:p>
        </w:tc>
      </w:tr>
      <w:tr>
        <w:trPr/>
        <w:tc>
          <w:tcPr>
            <w:tcW w:w="2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Licensing and other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200"/>
              <w:jc w:val="right"/>
              <w:rPr/>
            </w:pPr>
            <w:r>
              <w:rPr/>
              <w:t> </w:t>
            </w:r>
          </w:p>
        </w:tc>
      </w:tr>
      <w:tr>
        <w:trPr/>
        <w:tc>
          <w:tcPr>
            <w:tcW w:w="2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sales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conversion of debt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jc w:val="left"/>
        <w:rPr>
          <w:rFonts w:ascii="Times New Roman" w:hAnsi="Times New Roman"/>
          <w:color w:val="000000"/>
          <w:sz w:val="20"/>
        </w:rPr>
      </w:pPr>
      <w:r>
        <w:rPr>
          <w:rFonts w:ascii="Times New Roman" w:hAnsi="Times New Roman"/>
          <w:color w:val="000000"/>
          <w:sz w:val="20"/>
        </w:rPr>
        <w:t>Our product revenue, net is derived from sales of EMPAVELI and SYFOVRE sales in the United States. We recognized $366.3 million and $65.1 million of net product revenue as of December 31, 2023 and 2022, respectively. The net product revenue of $366.3 million for the year ended December 31, 2023, consists of $91.0 million in net product revenue from sales of EMPAVELI and $275.2 million in net product revenue from sales of SYFOVRE. The net product revenue of $65.1 million for the year ended December 31, 2023 consisted solely of net product revenue from sales of EMPAVELI. SYFOVRE was approved by the FDA in February 2023 and we did not record any net product revenue from sales of SYFOVRE in the year ended December 31, 2022.</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Licensing and 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and other revenue was $30.3 million and $10.3 million for the year ended December 31, 2023 and 2022, respectively. Licensing and other revenue of $30.3 million for the year ended December 31, 2023 consisted of $10.0 million in revenue from product supplied to Sobi, $15.3 million in royalty revenue from Sobi and $5.0 million from collaboration with Sobi. Licensing and other revenue of $10.3 million for the year ended December 31, 2022 consisted of $7.3 million in revenue from product supplied to Sobi and $3.0 million in royalty revenue from Sobi.</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was $58.5 million and $5.6 million for the year ended December 31, 2023 and 2022, respectively. The increase in cost of sales was primarily driven by a $22.9 million increase due to increased product volume from commercial sales and product provided under our patient assistance programs, a $7.0 million increase from cost of supply provided under the Sobi collaboration agreement, a $11.2 million increase in royalty expense, a $6.5 million increase due to the achievement of various sales-based milestones, a $0.5 million increase due to a sublicense fee, and a $4.9 million increase in expenses incurred related to excess or obsolete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prior to receiving FDA approval for EMPAVELI on May 14, 2021, the costs associated with the manufacture of EMPAVELI inventory were expensed as incurred as research and development expense. This resulted in inventory being sold during the years ended December 31, 2023 and 2022 for which a portion of the costs had been previously expensed prior to FDA approval. We expect this to continue to impact the cost of sales as the remaining pre-FDA inventory is sold to customers. As of December 31, 2023, the remaining pre-FDA approved inventory was $19.4 million, which primarily consisted of raw materials.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incurred during the years ended December 31, 2023 and 2022, together with the dollar increase or decrease and percentage change in those items: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473"/>
        <w:gridCol w:w="346"/>
        <w:gridCol w:w="211"/>
        <w:gridCol w:w="781"/>
        <w:gridCol w:w="346"/>
        <w:gridCol w:w="346"/>
        <w:gridCol w:w="211"/>
        <w:gridCol w:w="781"/>
        <w:gridCol w:w="346"/>
        <w:gridCol w:w="346"/>
        <w:gridCol w:w="146"/>
        <w:gridCol w:w="736"/>
        <w:gridCol w:w="366"/>
        <w:gridCol w:w="346"/>
        <w:gridCol w:w="184"/>
        <w:gridCol w:w="477"/>
        <w:gridCol w:w="763"/>
      </w:tblGrid>
      <w:tr>
        <w:trPr/>
        <w:tc>
          <w:tcPr>
            <w:tcW w:w="34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347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(In thousands)</w:t>
            </w:r>
          </w:p>
        </w:tc>
        <w:tc>
          <w:tcPr>
            <w:tcW w:w="346" w:type="dxa"/>
            <w:tcBorders/>
            <w:shd w:fill="FFFFFF" w:val="cle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6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63" w:type="dxa"/>
            <w:tcBorders/>
            <w:shd w:fill="FFFFFF" w:val="clear"/>
            <w:vAlign w:val="center"/>
          </w:tcPr>
          <w:p>
            <w:pPr>
              <w:pStyle w:val="TableContents"/>
              <w:bidi w:val="0"/>
              <w:spacing w:before="0" w:after="283"/>
              <w:jc w:val="center"/>
              <w:rPr/>
            </w:pPr>
            <w:r>
              <w:rPr/>
              <w:t> </w:t>
            </w:r>
          </w:p>
        </w:tc>
      </w:tr>
      <w:tr>
        <w:trPr/>
        <w:tc>
          <w:tcPr>
            <w:tcW w:w="347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3"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Program-specific external costs:</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ind w:left="0" w:right="0" w:firstLine="200"/>
              <w:jc w:val="left"/>
              <w:rPr/>
            </w:pPr>
            <w:r>
              <w:rPr/>
              <w:t> </w:t>
            </w:r>
          </w:p>
        </w:tc>
      </w:tr>
      <w:tr>
        <w:trPr/>
        <w:tc>
          <w:tcPr>
            <w:tcW w:w="3473"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PNH</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19,504</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22,954</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IC-MPGN &amp; C3G</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15,288</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ALS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16,876</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CAD</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HSCT-TMA</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GA</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(30,247</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development and discovery programs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6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CFF0FC" w:val="cle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b/>
                <w:color w:val="000000"/>
                <w:sz w:val="20"/>
              </w:rPr>
              <w:t>Total program-specific costs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179,810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199,569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(19,759</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Unallocated external costs</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ind w:left="0" w:right="0" w:firstLine="200"/>
              <w:jc w:val="left"/>
              <w:rPr/>
            </w:pPr>
            <w:r>
              <w:rPr/>
              <w:t> </w:t>
            </w:r>
          </w:p>
        </w:tc>
      </w:tr>
      <w:tr>
        <w:trPr/>
        <w:tc>
          <w:tcPr>
            <w:tcW w:w="3473"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Non-program specific external costs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6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FFFFFF" w:val="cle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b/>
                <w:color w:val="000000"/>
                <w:sz w:val="20"/>
              </w:rPr>
              <w:t>Total unallocated external costs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(22,087</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Unallocated internal costs</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ind w:left="0" w:right="0" w:firstLine="200"/>
              <w:jc w:val="left"/>
              <w:rPr/>
            </w:pPr>
            <w:r>
              <w:rPr/>
              <w:t> </w:t>
            </w:r>
          </w:p>
        </w:tc>
      </w:tr>
      <w:tr>
        <w:trPr/>
        <w:tc>
          <w:tcPr>
            <w:tcW w:w="3473"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Compensation and related personnel costs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162,515</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154,504</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8,011</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Other expenses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6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Total unallocated internal costs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167,575</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158,578</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3"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research and development costs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354,387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387,236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$32.8 million to $354.4 million for the year ended December 31, 2023 from $387.2 million for the year ended December 31, 2022, a decrease of 8%. The decrease in research and development expenses was primarily attributable to a $19.8 million decrease in program specific external costs and a $22.1 million decrease in non-program specific external costs, which were partially offset by a $8.0 million increase in compensation and related personnel costs and $1.0 million increase in other internal costs.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in our program-specific external costs of $19.8 million largely reflects reduced GA costs as a result of the impact of the approval of SYFOVRE in February 2023 and the discontinuation of the Phase 2 MERIDIAN study for ALS. These decreases were partially offset by increases in study costs consistent with the progression of our Phase 2 NOBLE trial and Phase 3 VALIANT trial for IC-MPGN and C3G as well as increases in other development and discovery programs.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compensation and related personnel costs was driven by a $5.2 million increase in salaries and benefits due to higher headcount compared to the prior year, a $1.9 million increase in severance costs related to the reduction in workforce announced in August 2023 and a $0.9 million increase in stock compensation expense associated with the grant of stock options and restricted stock units to employees. Other internal costs increased due to a $1.0 million increase in travel related expenses.</w:t>
      </w:r>
    </w:p>
    <w:p>
      <w:pPr>
        <w:pStyle w:val="TextBody"/>
        <w:bidi w:val="0"/>
        <w:spacing w:before="20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$223.6 million to $500.8 million for the year ended December 31, 2023, from $277.2 million for the year ended December 31, 2022, an increase of 81%. The increase was primarily attributable to an increase in employee related costs of $84.4 million, an increase in commercialization related activity of $123.2 million, an increase in professional and consulting fees of $3.2 million, an increase in travel related expenses of $5.0 million and higher office costs of $8.2 million. The increase was partially offset by a decrease in other expenses of $0.4 million. The increase in employee related costs of $84.4 million consisted of $66.8 million increase in salaries and benefits primarily due to commercialization activities to support the launch of SYFOVRE, an increase in termination costs of $5.1 million due to workforce reduction, and an increase of $14.2 million related to stock compensation expense associated with the grant of stock options and restricted stock units to employees, partially offset by a decrease in recruiting expenses of $1.7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Loss on Conversion of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Loss on conversion of debt was $32.9 million for the year ended December 31, 2022. See Note 8, Long-term Debt in the Notes to Condensed Consolidated Financial Statements included in this Annual Report on Form 10-K, for additional details regarding the conversion of debt.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was $20.9 million for the year ended December 31, 2023, an increase of $12.0 million, compared to $8.9 million for the year ended December 31, 2022. The increase in interest income was primarily attributable to increased interest rates during the year ended December 31, 2023.</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was $29.6 million for the year ended December 31, 2023, a decrease of $3.0 million, compared to $32.6 million for the year ended December 31, 2022. The decrease is primarily due to the lower outstanding principal amount of our convertible notes during the year ended December 31, 2023.</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(Expense)/ Income,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expense was $0.7 million for the year ended December 31, 2023 as compared to other expense of $0.3 million for the year ended December 31, 2022. The increase was primarily due to foreign currency revaluation losses.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was $2.1 million for the year ended December 31, 2023 as compared to $0.7 million for the year ended December 31, 2022. The increase is primarily due to an expansion in state tax jurisdictions.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Comparison of the Years Ended December 31, 2022 and 2021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discussion of changes in our results of operations during the year ended December 31, 2022 compared to the year ended December 31, 2021 has been omitted from this Annual Report on Form 10-K but may be found in “Item 7. Management’s Discussion and Analysis of Financial Condition and Results of Operations” in our Annual Report on Form 10-K for the year ended December 31, 2022, filed with the SEC on February 21, 2023, which discussion is incorporated herein by reference, and which is available free of charge on the SECs website at www.sec.gov.</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date, we have financed our operations primarily through $1.9 billion in net proceeds from public offerings of our common stock and pre-funded warrants to purchase common stock, $535.8 million in net proceeds from offerings of Convertible Notes, a $250.0 million up-front payment and a $65.0 million development reimbursement payments from Sobi pursuant to the Sobi collaboration agreement, $112.6 million in proceeds from the private placement of shares of our convertible preferred stock prior to our IPO, $140.0 million under the SFJ agreement, $20.0 million in proceeds from borrowings under a term loan facility with Silicon Valley Bank, and $7.0 million in proceeds from our issuance and sale of a promissory note. We have repaid the term loan facility and the promissory note in full, and we exchanged $425.4 million of aggregate principal amount of our Convertible Notes for shares of our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2023, we entered into a sales agreement, or the sales agreement, with Cowen and Company, LLC, or Cowen, as agent, pursuant to which the Company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year ended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28, 2022, the Company issued and sold 8,563,830 shares of its common stock at a price per share to the public of $47.00 in a follow-on public offering including an additional 1,117,021 shares of its common stock that were sold at the follow-on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public offering price of $47.00 per share pursuant to the underwriters’ agreement in full exercise of their option to purchase additional shares of common stock. The Company received net proceeds of approximately $380.1 million after deducting underwriting discounts and commissions of approximately $22.1 million and offering costs of $0.3 million for these transactions.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enter into agreements with the capped call counterparties to unwind a portion of the capped call transactions on February 27, 2024. The unwind agreements will apply to the portion of the capped call transactions in a notional amount corresponding to the $426.1 million principal amount of Convertible Notes that we held in treasury as of December 31, 2023 or have been previously converted. We expect that aggregate cash proceeds to us from the unwind transactions will be approximately $100 million. The unwind transactions will be settled based on the volume-weighted average price of our common stock over a 7-day averaging period beginning on and including February 27, 2024, and the amount of cash proceeds that we receive at the end of the averaging period may be higher or lower than the expected amount. In connection with the unwind, the counterparties may sell shares of our common stock in secondary market transactions, and/or unwind various derivative transactions with respect to our common stock.</w:t>
      </w:r>
    </w:p>
    <w:p>
      <w:pPr>
        <w:pStyle w:val="TextBody"/>
        <w:bidi w:val="0"/>
        <w:spacing w:before="20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years ended December 31, 2023 and 2022: </w:t>
      </w:r>
    </w:p>
    <w:p>
      <w:pPr>
        <w:pStyle w:val="TextBody"/>
        <w:bidi w:val="0"/>
        <w:jc w:val="left"/>
        <w:rPr/>
      </w:pPr>
      <w:r>
        <w:rPr/>
        <w:t> </w:t>
      </w:r>
    </w:p>
    <w:tbl>
      <w:tblPr>
        <w:tblW w:w="7919" w:type="dxa"/>
        <w:jc w:val="left"/>
        <w:tblInd w:w="0" w:type="dxa"/>
        <w:tblLayout w:type="fixed"/>
        <w:tblCellMar>
          <w:top w:w="28" w:type="dxa"/>
          <w:left w:w="28" w:type="dxa"/>
          <w:bottom w:w="28" w:type="dxa"/>
          <w:right w:w="28" w:type="dxa"/>
        </w:tblCellMar>
      </w:tblPr>
      <w:tblGrid>
        <w:gridCol w:w="5146"/>
        <w:gridCol w:w="146"/>
        <w:gridCol w:w="211"/>
        <w:gridCol w:w="841"/>
        <w:gridCol w:w="166"/>
        <w:gridCol w:w="146"/>
        <w:gridCol w:w="211"/>
        <w:gridCol w:w="841"/>
        <w:gridCol w:w="21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(513,745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59,893</w:t>
            </w:r>
          </w:p>
        </w:tc>
        <w:tc>
          <w:tcPr>
            <w:tcW w:w="211" w:type="dxa"/>
            <w:tcBorders/>
            <w:shd w:fill="FFFFFF" w:val="clear"/>
            <w:vAlign w:val="center"/>
          </w:tcPr>
          <w:p>
            <w:pPr>
              <w:pStyle w:val="TableContents"/>
              <w:bidi w:val="0"/>
              <w:spacing w:before="0" w:after="283"/>
              <w:jc w:val="left"/>
              <w:rPr/>
            </w:pPr>
            <w:r>
              <w:rPr/>
              <w:t> </w:t>
            </w:r>
          </w:p>
        </w:tc>
      </w:tr>
      <w:tr>
        <w:trPr/>
        <w:tc>
          <w:tcPr>
            <w:tcW w:w="51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365,659</w:t>
            </w:r>
          </w:p>
        </w:tc>
        <w:tc>
          <w:tcPr>
            <w:tcW w:w="211" w:type="dxa"/>
            <w:tcBorders/>
            <w:shd w:fill="CFF0FC" w:val="cle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$594.7 million for the year ended December 31, 2023 and consisted primarily of a net loss of $528.6 million adjusted for $134.1 million of non-cash items, including share-based compensation expense of $105.9 million, depreciation expense of $1.8 million, accretion of discount to the development liability of $26.0 million and accretion of discounts for convertible debt of $0.3 million. Further, it included a net increase in operating assets of $200.2 million, which was driven by increases in accounts receivable of $198.7 million, an increase in inventory of $60.6 million, and an increase in prepaid assets of $1.9 million, which was partially offset by an increase in accounts payable and accrued expenses of $35.1 million and a decrease in other assets of $25.9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$513.7 million for the year ended December 31, 2022 and consisted primarily of a net loss of $652.2 million adjusted for $154.1 million of non-cash items, including share-based compensation expense of $91.1 million, a loss on early exchange of debt of $32.9 million, the forfeiture of accrued interest in the exchange of the Convertible Notes of $1.3 million, depreciation expense of $1.6 million, amortization of discounts for convertible notes, net of financing costs of $0.3 million, and accretion of discount to the development liability of $26.9 million. Further, it included a net decrease in operating assets of $28.1 million and an increase in accounts payable and accrued expenses of $12.3 million.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(Used in) Provided by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investing activities during the year ended December 31, 2023 was $0.7 million due primarily to purchases of fixed assets and partially offset by proceeds from the sale of fixed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investing activities during the year ended December 31, 2022 was $59.9 million due primarily to $393.2 million in proceeds from maturities of marketable securities, partially offset by $331.9 million in purchases of marketable securities.</w:t>
      </w:r>
    </w:p>
    <w:p>
      <w:pPr>
        <w:pStyle w:val="TextBody"/>
        <w:bidi w:val="0"/>
        <w:spacing w:before="200" w:after="283"/>
        <w:jc w:val="left"/>
        <w:rPr>
          <w:rFonts w:ascii="Times New Roman" w:hAnsi="Times New Roman"/>
          <w:sz w:val="20"/>
        </w:rPr>
      </w:pPr>
      <w:r>
        <w:rPr>
          <w:rFonts w:ascii="Times New Roman" w:hAnsi="Times New Roman"/>
          <w:i/>
          <w:color w:val="000000"/>
          <w:sz w:val="20"/>
        </w:rPr>
        <w:t>Net Cash Provided by Financing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financing activities was $394.5 million during the year ended December 31, 2023 and consisted primarily of proceeds from the follow-on common stock and pre-funded warrant offering in March 2023 of $384.4 million, $71.3 million proceeds upon the exercise of stock options and $5.4 million proceeds from the issuance of our common stock under the employee stock purchase plan, partially offset by payments of $55.5 million for the development liability as well as the payments of employee tax withholding related to equity-based compensation of $11.0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financing activities was $365.7 million during the year ended December 31, 2022 and consisted primarily of proceeds from the follow-on common stock offering in March 2022 of $380.1 million, $21.5 million of proceeds upon the exercise of stock options and $4.2 million proceeds from the issuance of common stock under the employee stock purchase plan, partially offset by payments of $34.5 million for the development liability as well as $5.7 million for the payments of employee tax withholdings related to equity-based compensation.</w:t>
      </w:r>
    </w:p>
    <w:p>
      <w:pPr>
        <w:pStyle w:val="TextBody"/>
        <w:bidi w:val="0"/>
        <w:spacing w:before="20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to continue incur expenses to support our ongoing commercial activities related to product manufacturing, marketing, sales and distribution of EMPAVELI for PNH and SYFOVRE for GA. In addition, we expect to continue to incur expenses as we prioritize the ongoing development of systemic pegcetacoplan and focus our research initiatives on high potential opportunities. </w:t>
      </w:r>
    </w:p>
    <w:p>
      <w:pPr>
        <w:pStyle w:val="TextBody"/>
        <w:bidi w:val="0"/>
        <w:jc w:val="left"/>
        <w:rPr>
          <w:rFonts w:ascii="Times New Roman" w:hAnsi="Times New Roman"/>
          <w:color w:val="000000"/>
          <w:sz w:val="20"/>
        </w:rPr>
      </w:pPr>
      <w:r>
        <w:rPr>
          <w:rFonts w:ascii="Times New Roman" w:hAnsi="Times New Roman"/>
          <w:color w:val="000000"/>
          <w:sz w:val="20"/>
        </w:rPr>
        <w:t>We believe that our cash and cash equivalents as of December 31, 2023 and the cash that we anticipate generating from the unwind of the capped call transactions, together with the cash that we anticipate will be generated from sales of EMPAVELI and SYFOVRE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hAnsi="Times New Roman"/>
          <w:color w:val="000000"/>
          <w:sz w:val="24"/>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and sell EMPAVELI and SYFOVRE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and our ability to obtain regulatory approvals of SYFOVRE outside of the United States and to build a commercial infrastructure for SYFOVRE for GA in the United States and worldwide;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and our ability to effectively establish and maintain, the commercial infrastructure and manufacturing capabilities required to support the commercialization of EMPAVELI, systemic pegcetacoplan and SYFOVRE and any other products for which we receive marketing approval including product sales, medical affairs, marketing, manufacturing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and research and preclinical development efforts for systemic pegcetacoplan, SYFOVRE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 productive collaborative relationship with Sobi with respect to systemic pegcetacoplan, including our ability to achieve milestone payments under our agreement with Sobi;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additional collaborators for any of our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future product candidates that we pursue and their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costs of clinical trials and of seeking regulatory approvals of pegcetacoplan in other jurisdictions and indications and other product candidates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 revenue, if any, received from commercial sales of pegcetacoplan in other jurisdictions and indications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protecting our intellectual property rights and defending against intellectual property 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public health crises, including pandemics and epidemics, on the healthcare system and the economy generally and on our clinical trials and other operations specifically;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adequate reimbursement for EMPAVELI and SYFOVRE in the United States or any other product we commercialize;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our cash and cash equivalents, cash generated from the unwind of the capped call transactions,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unable to generate sufficient funds from unwinding the capped call transactions and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significant contractual obligations as of payment due date by period at December 31, 2023: </w:t>
      </w:r>
    </w:p>
    <w:p>
      <w:pPr>
        <w:pStyle w:val="TextBody"/>
        <w:bidi w:val="0"/>
        <w:jc w:val="left"/>
        <w:rPr/>
      </w:pPr>
      <w:r>
        <w:rPr/>
        <w:t> </w:t>
      </w:r>
    </w:p>
    <w:tbl>
      <w:tblPr>
        <w:tblW w:w="9869" w:type="dxa"/>
        <w:jc w:val="left"/>
        <w:tblInd w:w="0" w:type="dxa"/>
        <w:tblLayout w:type="fixed"/>
        <w:tblCellMar>
          <w:top w:w="28" w:type="dxa"/>
          <w:left w:w="28" w:type="dxa"/>
          <w:bottom w:w="28" w:type="dxa"/>
          <w:right w:w="28" w:type="dxa"/>
        </w:tblCellMar>
      </w:tblPr>
      <w:tblGrid>
        <w:gridCol w:w="3631"/>
        <w:gridCol w:w="146"/>
        <w:gridCol w:w="211"/>
        <w:gridCol w:w="781"/>
        <w:gridCol w:w="146"/>
        <w:gridCol w:w="146"/>
        <w:gridCol w:w="211"/>
        <w:gridCol w:w="781"/>
        <w:gridCol w:w="146"/>
        <w:gridCol w:w="146"/>
        <w:gridCol w:w="211"/>
        <w:gridCol w:w="781"/>
        <w:gridCol w:w="146"/>
        <w:gridCol w:w="146"/>
        <w:gridCol w:w="211"/>
        <w:gridCol w:w="676"/>
        <w:gridCol w:w="146"/>
        <w:gridCol w:w="146"/>
        <w:gridCol w:w="329"/>
        <w:gridCol w:w="54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0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9" w:type="dxa"/>
            <w:gridSpan w:val="4"/>
            <w:tcBorders/>
            <w:shd w:fill="FFFFFF" w:val="clear"/>
            <w:vAlign w:val="center"/>
          </w:tcPr>
          <w:p>
            <w:pPr>
              <w:pStyle w:val="TableContents"/>
              <w:bidi w:val="0"/>
              <w:spacing w:before="0" w:after="283"/>
              <w:jc w:val="center"/>
              <w:rPr/>
            </w:pPr>
            <w:r>
              <w:rPr/>
              <w:t> </w:t>
            </w:r>
          </w:p>
        </w:tc>
        <w:tc>
          <w:tcPr>
            <w:tcW w:w="8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r>
          </w:p>
        </w:tc>
        <w:tc>
          <w:tcPr>
            <w:tcW w:w="191" w:type="dxa"/>
            <w:tcBorders/>
            <w:shd w:fill="FFFFFF" w:val="clear"/>
            <w:vAlign w:val="center"/>
          </w:tcPr>
          <w:p>
            <w:pPr>
              <w:pStyle w:val="TableContents"/>
              <w:bidi w:val="0"/>
              <w:spacing w:before="0" w:after="283"/>
              <w:jc w:val="center"/>
              <w:rPr/>
            </w:pPr>
            <w:r>
              <w:rPr/>
              <w:t> </w:t>
            </w:r>
          </w:p>
        </w:tc>
      </w:tr>
      <w:tr>
        <w:trPr/>
        <w:tc>
          <w:tcPr>
            <w:tcW w:w="3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SFJ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Non-cancellable purchase commitments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include interest on long-term debt obligations under the debt outstanding as of December 31, 2023, applying contractual fixed interest rate and assuming scheduled payments are paid as contractually required through maturity.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include our obligations under supply agreements with Bachem and NOF as of December 31, 2023 and obligations under supply agreements with other vendors.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future minimum lease payments under our non-cancelable operating leases. The minimum lease payments above do not include any related common area maintenance charges or real estate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SFJ agreement, following regulatory approval by the FDA in May 2021 for the use of systemic pegcetacoplan as a treatment for PNH, we became obligated to pay SFJ an initial payment of $4.0 million and then an additional $226.0 million in the aggregate in six additional annual payments with the majority of the payments being made from the third anniversary to the sixth anniversary of regulatory approval. We paid SFJ the initial payment of $4.0 million in June 2021, its first annual payment of $11.5 million in May 2022 and the second annual payment of $24.5 million in May 2023. The subsequent annual payments remaining are due and payable in May of each year from 2024 through 2027.</w:t>
      </w:r>
    </w:p>
    <w:p>
      <w:pPr>
        <w:pStyle w:val="TextBody"/>
        <w:bidi w:val="0"/>
        <w:jc w:val="left"/>
        <w:rPr>
          <w:rFonts w:ascii="Times New Roman" w:hAnsi="Times New Roman"/>
          <w:color w:val="000000"/>
          <w:sz w:val="20"/>
        </w:rPr>
      </w:pPr>
      <w:r>
        <w:rPr>
          <w:rFonts w:ascii="Times New Roman" w:hAnsi="Times New Roman"/>
          <w:color w:val="000000"/>
          <w:sz w:val="20"/>
        </w:rPr>
        <w:t>Following regulatory approval of systemic pegcetacoplan by the EMA in December 2021, we became obligated to pay SFJ an initial payment of $5.0 million and then an additional $225.0 million in the aggregate in six additional annual payments with the majority of the payments being made from the third anniversary to the sixth anniversary of regulatory approval. We paid SFJ the initial payment of $5.0 million in January 2022 the first annual payment of $18.0 million in December 2022, and its second annual payment of $31.0 million in December 2023. The subsequent annual payments are due and payable in December of each year from 2024 through 2027.</w:t>
      </w:r>
    </w:p>
    <w:p>
      <w:pPr>
        <w:pStyle w:val="TextBody"/>
        <w:bidi w:val="0"/>
        <w:jc w:val="left"/>
        <w:rPr>
          <w:rFonts w:ascii="Times New Roman" w:hAnsi="Times New Roman"/>
          <w:color w:val="000000"/>
          <w:sz w:val="20"/>
        </w:rPr>
      </w:pPr>
      <w:r>
        <w:rPr>
          <w:rFonts w:ascii="Times New Roman" w:hAnsi="Times New Roman"/>
          <w:color w:val="000000"/>
          <w:sz w:val="20"/>
        </w:rPr>
        <w:t>We have paid SFJ a total of $94.0 million as of December 31, 2023 and we are obligated to pay an aggregate of $366.0 million through 2027.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entered into contracts to conduct research and development activities with third parties which commit us to pay future milestone payments or to pay royalty fees if any of the research results in regulatory approval or commercial revenue for a product. The scope of the services under the research and development contracts can be modified and the contracts cancelled by us upon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written notice. In some instances, the contracts may be cancelled by the third party upon written notice. If we were to cancel these contracts, we would be required only to pay for activities incurred through termination date.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party to a license agreement with Penn for an exclusive, worldwide license to specified patent rights in the ophthalmic field of use. We are required to pay annual maintenance fees of $0.1 million until the first sale of a licensed product. We are also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we are obligated to pay a specified portion of income it receives from sublicensees.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2023, we paid $2.3 million for the achievement of a regulatory milestone as a result of the FDA approval of SYFOVRE in February 2023. In 2023, we incurred $5.0 million as a result of the achievement of sales milestones for SYFOVRE of which $2.0 million was paid in October 2023 and the remainder of $3.0 million was accrued for as of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2023, we have incurred an aggregate royalty expense of $8.9 million as a result of sales of SYFOVRE.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we are also party to a license agreement with Penn for an exclusive, worldwide license to specified patent rights for the development and commercialization of products in nonophthalmic fields of use, as defined therein. We are required to pay annual maintenance fees of $0.1 million until the first sale of a licensed product. We are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us to pay low single digit royalties based on net sales of each licensed product, subject to minimum quarterly royalty thresholds. In addition, we are obligated to pay a specified portion of income we receive from sublicensees. In January 2021, we paid $25.0 million for a sublicense fee owed to Penn related to the Sobi collaboration agreement and another licensing transaction. In August 2021, we paid $1.0 million to Penn upon the achievement of a development milestone, net of a credit for the annual license maintenance payment. In June 2022, we paid an additional $5.0 million to Penn upon the achievement of a development milestone. In January 2023, we paid $1.0 million to Penn upon the achievement of a sales milestone for EMPAVELI in 2022. As of December 31, 2023, we recorded in accrued expenses $0.5 million for a sublicense fee owed to Penn related to Sobi obtaining regulatory approval in Japan. Additionally, as of December 31, 2023, we recorded in accrued expenses $1.5 million as a result of the achievement of a sales milestone for EMPAVELI and Aspaveli.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enter into agreements in the normal course of business with CROs for clinical trials and clinical supply manufacturing and with vendors for preclinical research studies and other services and products for operating purposes. We have not included these payments in the table of contractual obligations above since either the contracts are cancelable at any time by us, generally upon 30 days prior written notice to the CRO, or the noncancelable minimum purchase commitments under such contracts have already been satisfied.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certain non-cancelable purchase obligations related to the manufacturing of drug substance and drug product, with Bachem, agreeing to purchase a significant portion of our requirements for the pegcetacoplan drug substance over the next five years and a commercial supply agreement with NOF Corporation, or NOF, to purchase activated polyethylene glycol derivative, or PEG, which is a component of pegcetacoplan. Under these agreements, as of December 31, 2023 we are obligated to pay up to an aggregate of $94.6 million to these vendors. In addition, we have other non-cancelable purchase agreements as of December 31, 2023, under which we are obligated to pay up to an aggregate of $16.1 million to other vendors.</w:t>
      </w:r>
    </w:p>
    <w:p>
      <w:pPr>
        <w:pStyle w:val="TextBody"/>
        <w:bidi w:val="0"/>
        <w:spacing w:before="360" w:after="283"/>
        <w:jc w:val="left"/>
        <w:rPr>
          <w:rFonts w:ascii="Times New Roman" w:hAnsi="Times New Roman"/>
          <w:b/>
          <w:color w:val="000000"/>
          <w:sz w:val="20"/>
        </w:rPr>
      </w:pPr>
      <w:bookmarkStart w:id="14" w:name="item7a"/>
      <w:bookmarkEnd w:id="14"/>
      <w:r>
        <w:rPr>
          <w:rFonts w:ascii="Times New Roman" w:hAnsi="Times New Roman"/>
          <w:b/>
          <w:color w:val="000000"/>
          <w:sz w:val="20"/>
        </w:rPr>
        <w:t>Item 7A.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market risk related to changes in interest rates. As of December 31, 2023, we had cash and cash equivalents of $351.2 million, consisting primarily of money market funds and U.S. treasury securities.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w:t>
      </w:r>
    </w:p>
    <w:p>
      <w:pPr>
        <w:pStyle w:val="TextBody"/>
        <w:bidi w:val="0"/>
        <w:spacing w:before="360" w:after="283"/>
        <w:jc w:val="left"/>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 FOR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93"/>
        <w:gridCol w:w="146"/>
        <w:gridCol w:w="466"/>
      </w:tblGrid>
      <w:tr>
        <w:trPr/>
        <w:tc>
          <w:tcPr>
            <w:tcW w:w="9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593"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34)</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95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Financial Statements as of and for the years ended December 31, 2023 and 2022 and for each of the three years in the period ended December 31, 2023:</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593"/>
        <w:gridCol w:w="146"/>
        <w:gridCol w:w="466"/>
      </w:tblGrid>
      <w:tr>
        <w:trPr/>
        <w:tc>
          <w:tcPr>
            <w:tcW w:w="9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593"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w:t>
              </w:r>
            </w:hyperlink>
            <w:r>
              <w:rPr>
                <w:rFonts w:ascii="Times New Roman" w:hAnsi="Times New Roman"/>
                <w:color w:val="000000"/>
                <w:sz w:val="20"/>
              </w:rPr>
              <w:t>22</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9593" w:type="dxa"/>
            <w:tcBorders/>
            <w:vAlign w:val="center"/>
          </w:tcPr>
          <w:p>
            <w:pPr>
              <w:pStyle w:val="TableContents"/>
              <w:bidi w:val="0"/>
              <w:spacing w:before="0" w:after="283"/>
              <w:jc w:val="both"/>
              <w:rPr/>
            </w:pPr>
            <w:hyperlink w:anchor="consolidated_statements_operations_compr">
              <w:r>
                <w:rPr>
                  <w:rStyle w:val="InternetLink"/>
                  <w:rFonts w:ascii="Times New Roman" w:hAnsi="Times New Roman"/>
                  <w:color w:val="0000FF"/>
                  <w:sz w:val="20"/>
                  <w:u w:val="single"/>
                </w:rPr>
                <w:t>Consolidated Statements of Operations and Comprehensive Loss for the years ended December 31, 2023, 2022 and 2021</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9593" w:type="dxa"/>
            <w:tcBorders/>
            <w:vAlign w:val="center"/>
          </w:tcPr>
          <w:p>
            <w:pPr>
              <w:pStyle w:val="TableContents"/>
              <w:bidi w:val="0"/>
              <w:spacing w:before="0" w:after="283"/>
              <w:jc w:val="left"/>
              <w:rPr/>
            </w:pPr>
            <w:hyperlink w:anchor="consolidated_statements_changes_in_stock">
              <w:r>
                <w:rPr>
                  <w:rStyle w:val="InternetLink"/>
                  <w:rFonts w:ascii="Times New Roman" w:hAnsi="Times New Roman"/>
                  <w:color w:val="0000FF"/>
                  <w:sz w:val="20"/>
                  <w:u w:val="single"/>
                </w:rPr>
                <w:t>Consolidated Statements of Changes in Stockholders’ Equity for the period from January 1, 2021 to December 31, 2023</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9593"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2022 and 2021</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r>
      <w:tr>
        <w:trPr/>
        <w:tc>
          <w:tcPr>
            <w:tcW w:w="9593"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16" w:name="report_independent_registered_public_acc"/>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Apellis Pharmaceuticals,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Apellis Pharmaceuticals, Inc. and subsidiaries (the “Company”) as of December 31, 2023 and 2022, the related consolidated statements of operations and comprehensive loss, changes in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olor w:val="000000"/>
          <w:sz w:val="20"/>
        </w:rPr>
        <w:t>Internal Control—Integrated Framework (2013)</w:t>
      </w:r>
      <w:r>
        <w:rPr>
          <w:rFonts w:ascii="Times New Roman" w:hAnsi="Times New Roman"/>
          <w:color w:val="000000"/>
          <w:sz w:val="20"/>
        </w:rPr>
        <w:t>issued by the Committee of Sponsoring Organizations of the Treadway Commission and our report dated February 27, 2024, expressed an unqualified opinion on the Company’s internal control over financial reporting.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Accounting For New Customer Contracts Under ASC 606 — Refer to Notes 2 and 3 to the financial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received FDA approval for the sale of SYFOVRE in the United States in February 2023. The Company sells SYFOVRE principally through arrangements with specialty pharmacies (“SPs”) and specialty distributors (“SDs”), who are the Company’s customers. The customers subsequently resell the product to patients and healthcare providers. Product revenues are recognized when the customers take control of the product, which typically occurs upon delivery to the customers.</w:t>
      </w:r>
    </w:p>
    <w:p>
      <w:pPr>
        <w:pStyle w:val="TextBody"/>
        <w:bidi w:val="0"/>
        <w:jc w:val="left"/>
        <w:rPr>
          <w:rFonts w:ascii="Times New Roman" w:hAnsi="Times New Roman"/>
          <w:color w:val="000000"/>
          <w:sz w:val="20"/>
        </w:rPr>
      </w:pPr>
      <w:r>
        <w:rPr>
          <w:rFonts w:ascii="Times New Roman" w:hAnsi="Times New Roman"/>
          <w:color w:val="000000"/>
          <w:sz w:val="20"/>
        </w:rPr>
        <w:t>We identified the evaluation of revenue recognition criteria under Accounting Standards Codification 606, Revenue from Contracts with Customers (“ASC 606”) related to the new customer contracts for SYFOVRE as a critical audit matter. This is primarily due to the judgments necessary for management to determine when revenue recognition criteria have been met, specifically as it relates to the identification of the customer. This required increased auditor judgment to audit management's assertions, including the need to involve professionals in our firm with expertise in revenue recognition.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Our audit procedures related to revenue recognition conclusions for new customer contracts for SYFOVRE included the following,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operating effectiveness of controls over evaluation of revenue recognition criteria under ASC 606 for new customer contracts, which includes the identification of the customer;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obtained and inspected the executed customer contracts related to SYFOVRE;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Company’s accounting analysis under ASC 606, specific to the identification of the customer, by performing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professionals in our firm having expertise in revenue recognition, we evaluated the significant judgements associate with the Company’s identification of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read the relevant authoritative guidance and evaluated whether accounting conclusions were in accordance with the requirements of ASC 606.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held corroborative inquiries with individuals involved in the negotiation of the contracts to confirm our understanding of those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Company’s reconciliation of gross revenue recognized from product sales of SYFOVRE to third-party information and evaluated reconciling items, as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sample of gross revenue transactions, we obtained and inspected source documents, including the customer contract, purchase orders, invoices, proof of delivery, as applicable, to determine whether revenue recognition criteria have been met.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Massachusetts</w:t>
        <w:br/>
        <w:t>February 27,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APELLIS PHARMACEUTICALS, INC.</w:t>
      </w:r>
    </w:p>
    <w:p>
      <w:pPr>
        <w:pStyle w:val="TextBody"/>
        <w:bidi w:val="0"/>
        <w:jc w:val="center"/>
        <w:rPr>
          <w:rFonts w:ascii="Times New Roman" w:hAnsi="Times New Roman"/>
          <w:sz w:val="20"/>
        </w:rPr>
      </w:pPr>
      <w:bookmarkStart w:id="17" w:name="consolidated_balance_sheets"/>
      <w:bookmarkEnd w:id="17"/>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amounts)</w:t>
      </w:r>
    </w:p>
    <w:p>
      <w:pPr>
        <w:pStyle w:val="TextBody"/>
        <w:bidi w:val="0"/>
        <w:jc w:val="left"/>
        <w:rPr/>
      </w:pPr>
      <w:r>
        <w:rPr/>
        <w:t> </w:t>
      </w:r>
    </w:p>
    <w:tbl>
      <w:tblPr>
        <w:tblW w:w="9404" w:type="dxa"/>
        <w:jc w:val="left"/>
        <w:tblInd w:w="0" w:type="dxa"/>
        <w:tblLayout w:type="fixed"/>
        <w:tblCellMar>
          <w:top w:w="28" w:type="dxa"/>
          <w:left w:w="28" w:type="dxa"/>
          <w:bottom w:w="28" w:type="dxa"/>
          <w:right w:w="28" w:type="dxa"/>
        </w:tblCellMar>
      </w:tblPr>
      <w:tblGrid>
        <w:gridCol w:w="5931"/>
        <w:gridCol w:w="146"/>
        <w:gridCol w:w="211"/>
        <w:gridCol w:w="991"/>
        <w:gridCol w:w="166"/>
        <w:gridCol w:w="146"/>
        <w:gridCol w:w="211"/>
        <w:gridCol w:w="991"/>
        <w:gridCol w:w="611"/>
      </w:tblGrid>
      <w:tr>
        <w:trPr/>
        <w:tc>
          <w:tcPr>
            <w:tcW w:w="5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5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551,801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719,523</w:t>
            </w:r>
          </w:p>
        </w:tc>
        <w:tc>
          <w:tcPr>
            <w:tcW w:w="611" w:type="dxa"/>
            <w:tcBorders/>
            <w:shd w:fill="CFF0FC" w:val="cle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development liability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right-of-use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167,610</w:t>
            </w:r>
          </w:p>
        </w:tc>
        <w:tc>
          <w:tcPr>
            <w:tcW w:w="611" w:type="dxa"/>
            <w:tcBorders/>
            <w:shd w:fill="CFF0FC" w:val="cle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Long-term development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315,647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590,345</w:t>
            </w:r>
          </w:p>
        </w:tc>
        <w:tc>
          <w:tcPr>
            <w:tcW w:w="611" w:type="dxa"/>
            <w:tcBorders/>
            <w:shd w:fill="CFF0FC" w:val="cle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 shares authorized and </w:t>
              <w:br/>
              <w:t>    zero shares issued and outstanding at December 31, 2023 and 2022</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200,000 shares authorized at</w:t>
              <w:br/>
              <w:t>    December 31, 2023 and 2022; 119,556 and 110,772 shares issued</w:t>
              <w:br/>
              <w:t>    and outstanding at December 31, 2023 and 2022, respectively</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2,479,596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(2,308,860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B.00APELLIS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consolidated_statements_operations_compr"/>
      <w:bookmarkEnd w:id="18"/>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amounts)</w:t>
      </w:r>
    </w:p>
    <w:p>
      <w:pPr>
        <w:pStyle w:val="TextBody"/>
        <w:bidi w:val="0"/>
        <w:jc w:val="left"/>
        <w:rPr/>
      </w:pPr>
      <w:r>
        <w:rPr/>
        <w:t> </w:t>
      </w:r>
    </w:p>
    <w:tbl>
      <w:tblPr>
        <w:tblW w:w="9462" w:type="dxa"/>
        <w:jc w:val="left"/>
        <w:tblInd w:w="0" w:type="dxa"/>
        <w:tblLayout w:type="fixed"/>
        <w:tblCellMar>
          <w:top w:w="28" w:type="dxa"/>
          <w:left w:w="28" w:type="dxa"/>
          <w:bottom w:w="28" w:type="dxa"/>
          <w:right w:w="28" w:type="dxa"/>
        </w:tblCellMar>
      </w:tblPr>
      <w:tblGrid>
        <w:gridCol w:w="5271"/>
        <w:gridCol w:w="211"/>
        <w:gridCol w:w="841"/>
        <w:gridCol w:w="166"/>
        <w:gridCol w:w="146"/>
        <w:gridCol w:w="211"/>
        <w:gridCol w:w="841"/>
        <w:gridCol w:w="166"/>
        <w:gridCol w:w="146"/>
        <w:gridCol w:w="211"/>
        <w:gridCol w:w="841"/>
        <w:gridCol w:w="411"/>
      </w:tblGrid>
      <w:tr>
        <w:trPr/>
        <w:tc>
          <w:tcPr>
            <w:tcW w:w="5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71" w:type="dxa"/>
            <w:tcBorders/>
            <w:shd w:fill="FFFFFF" w:val="cle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Licensing and other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66,563</w:t>
            </w:r>
          </w:p>
        </w:tc>
        <w:tc>
          <w:tcPr>
            <w:tcW w:w="411" w:type="dxa"/>
            <w:tcBorders/>
            <w:shd w:fill="CFF0FC" w:val="clear"/>
            <w:vAlign w:val="center"/>
          </w:tcPr>
          <w:p>
            <w:pPr>
              <w:pStyle w:val="TableContents"/>
              <w:bidi w:val="0"/>
              <w:spacing w:before="0" w:after="283"/>
              <w:jc w:val="left"/>
              <w:rPr/>
            </w:pPr>
            <w:r>
              <w:rPr/>
              <w:t> </w:t>
            </w:r>
          </w:p>
        </w:tc>
      </w:tr>
      <w:tr>
        <w:trPr/>
        <w:tc>
          <w:tcPr>
            <w:tcW w:w="5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sales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345,869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research collaboration</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expense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(536,277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conversion of debt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from remeasurement of development derivative liability</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(746,002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(loss)/gain on marketable securities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(loss)/gain on pension plans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net of tax</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common shares used in net </w:t>
              <w:br/>
              <w:t>      loss per common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APELLIS PHARMACEUTICALS, INC.</w:t>
      </w:r>
    </w:p>
    <w:p>
      <w:pPr>
        <w:pStyle w:val="TextBody"/>
        <w:bidi w:val="0"/>
        <w:jc w:val="center"/>
        <w:rPr>
          <w:rFonts w:ascii="Times New Roman" w:hAnsi="Times New Roman"/>
          <w:b/>
          <w:color w:val="000000"/>
          <w:sz w:val="20"/>
        </w:rPr>
      </w:pPr>
      <w:bookmarkStart w:id="19" w:name="consolidated_statements_changes_in_stock"/>
      <w:bookmarkEnd w:id="19"/>
      <w:r>
        <w:rPr>
          <w:rFonts w:ascii="Times New Roman" w:hAnsi="Times New Roman"/>
          <w:b/>
          <w:color w:val="000000"/>
          <w:sz w:val="20"/>
        </w:rPr>
        <w:t>CONSOLIDATED STATEMENTS OF CHANGES IN STOCKHOLDERS’ EQUITY</w:t>
      </w:r>
    </w:p>
    <w:p>
      <w:pPr>
        <w:pStyle w:val="TextBody"/>
        <w:bidi w:val="0"/>
        <w:jc w:val="center"/>
        <w:rPr>
          <w:rFonts w:ascii="Times New Roman" w:hAnsi="Times New Roman"/>
          <w:sz w:val="20"/>
        </w:rPr>
      </w:pPr>
      <w:r>
        <w:rPr>
          <w:rFonts w:ascii="Times New Roman" w:hAnsi="Times New Roman"/>
          <w:b/>
          <w:color w:val="000000"/>
          <w:sz w:val="20"/>
        </w:rPr>
        <w:t>(Amounts in thousands,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147"/>
        <w:gridCol w:w="246"/>
        <w:gridCol w:w="175"/>
        <w:gridCol w:w="831"/>
        <w:gridCol w:w="146"/>
        <w:gridCol w:w="146"/>
        <w:gridCol w:w="205"/>
        <w:gridCol w:w="486"/>
        <w:gridCol w:w="146"/>
        <w:gridCol w:w="146"/>
        <w:gridCol w:w="146"/>
        <w:gridCol w:w="826"/>
        <w:gridCol w:w="166"/>
        <w:gridCol w:w="146"/>
        <w:gridCol w:w="247"/>
        <w:gridCol w:w="969"/>
        <w:gridCol w:w="166"/>
        <w:gridCol w:w="146"/>
        <w:gridCol w:w="148"/>
        <w:gridCol w:w="903"/>
        <w:gridCol w:w="166"/>
        <w:gridCol w:w="146"/>
        <w:gridCol w:w="169"/>
        <w:gridCol w:w="874"/>
        <w:gridCol w:w="313"/>
      </w:tblGrid>
      <w:tr>
        <w:trPr/>
        <w:tc>
          <w:tcPr>
            <w:tcW w:w="21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14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989"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r>
      <w:tr>
        <w:trPr/>
        <w:tc>
          <w:tcPr>
            <w:tcW w:w="214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9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vAlign w:val="center"/>
          </w:tcPr>
          <w:p>
            <w:pPr>
              <w:pStyle w:val="TableContents"/>
              <w:bidi w:val="0"/>
              <w:spacing w:before="0" w:after="283"/>
              <w:jc w:val="center"/>
              <w:rPr/>
            </w:pPr>
            <w:r>
              <w:rPr/>
              <w:t> </w:t>
            </w:r>
          </w:p>
        </w:tc>
      </w:tr>
      <w:tr>
        <w:trPr/>
        <w:tc>
          <w:tcPr>
            <w:tcW w:w="214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837" w:type="dxa"/>
            <w:gridSpan w:val="3"/>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vAlign w:val="center"/>
          </w:tcPr>
          <w:p>
            <w:pPr>
              <w:pStyle w:val="TableContents"/>
              <w:bidi w:val="0"/>
              <w:spacing w:before="0" w:after="283"/>
              <w:jc w:val="center"/>
              <w:rPr/>
            </w:pPr>
            <w:r>
              <w:rPr/>
              <w:t> </w:t>
            </w:r>
          </w:p>
        </w:tc>
      </w:tr>
      <w:tr>
        <w:trPr/>
        <w:tc>
          <w:tcPr>
            <w:tcW w:w="214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2021</w:t>
            </w:r>
          </w:p>
        </w:tc>
        <w:tc>
          <w:tcPr>
            <w:tcW w:w="2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1,131,013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(926,347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204,557</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Adoption of ASU 2020-06</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(149,734</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in follow-on offering, net of offering costs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380,362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14,691</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shares in exchange of 2019 and 2020 Convertible Notes, including issuance cost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421,093</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Forfeiture of accrued interest in exchange of 2019 and 2020 Convertible Notes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4,171</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Vesting of restricted stock units, net of shares withheld for taxes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70,667</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to employee stock purchase plan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gain on available-for-sale investments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(746,354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(746,354</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currency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w:t>
            </w:r>
          </w:p>
        </w:tc>
        <w:tc>
          <w:tcPr>
            <w:tcW w:w="2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1,857,430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(1,656,688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198,662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in follow-on offering, net of offering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380,120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shares in exchange of Convertible Notes, including issuance costs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129,636</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Forfeiture of accrued interest in exchange of Convertible Notes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21,483</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Vesting of restricted stock units, net of shares withheld for taxes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(5,682</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91,085</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to employee stock purchase plan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4,238</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gain on pension benefit plan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(652,172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(652,172</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currency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2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(2,308,860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169,872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and pre-funded warrants in common stock offering</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384,387</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71,274</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Vesting of restricted stock units, net of shares withheld for taxes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(11,040</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105,945</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to employee stock purchase plan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5,378</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loss on pension benefit plan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(2,618</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(528,628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(528,628</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currency loss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246"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(2,837,488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194,521</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righ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APELLIS PHARMACEUTICALS, INC.</w:t>
      </w:r>
    </w:p>
    <w:p>
      <w:pPr>
        <w:pStyle w:val="TextBody"/>
        <w:bidi w:val="0"/>
        <w:jc w:val="center"/>
        <w:rPr>
          <w:rFonts w:ascii="Times New Roman" w:hAnsi="Times New Roman"/>
          <w:sz w:val="20"/>
        </w:rPr>
      </w:pPr>
      <w:bookmarkStart w:id="20" w:name="consolidated_statements_cash_flows"/>
      <w:bookmarkEnd w:id="20"/>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amounts)</w:t>
      </w:r>
    </w:p>
    <w:tbl>
      <w:tblPr>
        <w:tblW w:w="10205" w:type="dxa"/>
        <w:jc w:val="left"/>
        <w:tblInd w:w="0" w:type="dxa"/>
        <w:tblLayout w:type="fixed"/>
        <w:tblCellMar>
          <w:top w:w="28" w:type="dxa"/>
          <w:left w:w="28" w:type="dxa"/>
          <w:bottom w:w="28" w:type="dxa"/>
          <w:right w:w="28" w:type="dxa"/>
        </w:tblCellMar>
      </w:tblPr>
      <w:tblGrid>
        <w:gridCol w:w="5783"/>
        <w:gridCol w:w="146"/>
        <w:gridCol w:w="196"/>
        <w:gridCol w:w="751"/>
        <w:gridCol w:w="166"/>
        <w:gridCol w:w="146"/>
        <w:gridCol w:w="196"/>
        <w:gridCol w:w="751"/>
        <w:gridCol w:w="166"/>
        <w:gridCol w:w="146"/>
        <w:gridCol w:w="196"/>
        <w:gridCol w:w="751"/>
        <w:gridCol w:w="811"/>
      </w:tblGrid>
      <w:tr>
        <w:trPr/>
        <w:tc>
          <w:tcPr>
            <w:tcW w:w="5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7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ind w:left="0" w:right="0" w:firstLine="200"/>
              <w:jc w:val="center"/>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(528,628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(652,172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(746,354</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70,667</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conversion of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100,589</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from remeasurement of development derivative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97,675</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disposal of fixed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Forfeiture of accrued interest in exchange of convertible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4,171</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right of use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discounts for convertible notes, net of financing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Accretion of discount to development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600"/>
              <w:jc w:val="right"/>
              <w:rPr/>
            </w:pPr>
            <w:r>
              <w:rPr/>
              <w:t> </w:t>
            </w:r>
          </w:p>
        </w:tc>
      </w:tr>
      <w:tr>
        <w:trPr/>
        <w:tc>
          <w:tcPr>
            <w:tcW w:w="578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(198,715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(10,103</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(60,647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(69,397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(16,317</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Prepaid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(13,487</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(40,928</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(12,782</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10,487</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578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(563,126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sale of fixed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(331,863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(171,281</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maturity of available-for-sale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247,616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net of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380,363</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pre-funded warrant offering,</w:t>
              <w:br/>
              <w:t>net of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development derivative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development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under employee share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of employee tax withholding related to equity-based compensation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392,236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w:t>
            </w:r>
          </w:p>
        </w:tc>
        <w:tc>
          <w:tcPr>
            <w:tcW w:w="8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(200,775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(88,681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74,710</w:t>
            </w:r>
          </w:p>
        </w:tc>
        <w:tc>
          <w:tcPr>
            <w:tcW w:w="811" w:type="dxa"/>
            <w:tcBorders/>
            <w:shd w:fill="FFFFFF" w:val="clear"/>
            <w:vAlign w:val="center"/>
          </w:tcPr>
          <w:p>
            <w:pPr>
              <w:pStyle w:val="TableContents"/>
              <w:bidi w:val="0"/>
              <w:spacing w:before="0" w:after="283"/>
              <w:jc w:val="left"/>
              <w:rPr/>
            </w:pPr>
            <w:r>
              <w:rPr/>
              <w:t> </w:t>
            </w:r>
          </w:p>
        </w:tc>
      </w:tr>
      <w:tr>
        <w:trPr/>
        <w:tc>
          <w:tcPr>
            <w:tcW w:w="57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567,045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641,755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APELLIS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sz w:val="20"/>
        </w:rPr>
      </w:pPr>
      <w:r>
        <w:rPr>
          <w:rFonts w:ascii="Times New Roman" w:hAnsi="Times New Roman"/>
          <w:b/>
          <w:color w:val="000000"/>
          <w:sz w:val="20"/>
        </w:rPr>
        <w:t>(Amounts 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(Cont’d)</w:t>
      </w:r>
    </w:p>
    <w:p>
      <w:pPr>
        <w:pStyle w:val="TextBody"/>
        <w:bidi w:val="0"/>
        <w:spacing w:before="40" w:after="283"/>
        <w:jc w:val="center"/>
        <w:rPr/>
      </w:pPr>
      <w:r>
        <w:rPr/>
        <w:t> </w:t>
      </w:r>
    </w:p>
    <w:tbl>
      <w:tblPr>
        <w:tblW w:w="9738" w:type="dxa"/>
        <w:jc w:val="left"/>
        <w:tblInd w:w="0" w:type="dxa"/>
        <w:tblLayout w:type="fixed"/>
        <w:tblCellMar>
          <w:top w:w="28" w:type="dxa"/>
          <w:left w:w="28" w:type="dxa"/>
          <w:bottom w:w="28" w:type="dxa"/>
          <w:right w:w="28" w:type="dxa"/>
        </w:tblCellMar>
      </w:tblPr>
      <w:tblGrid>
        <w:gridCol w:w="5641"/>
        <w:gridCol w:w="146"/>
        <w:gridCol w:w="211"/>
        <w:gridCol w:w="781"/>
        <w:gridCol w:w="146"/>
        <w:gridCol w:w="146"/>
        <w:gridCol w:w="211"/>
        <w:gridCol w:w="781"/>
        <w:gridCol w:w="146"/>
        <w:gridCol w:w="146"/>
        <w:gridCol w:w="211"/>
        <w:gridCol w:w="781"/>
        <w:gridCol w:w="3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Reconciliation of cash, cash equivalents and restricted cash to the </w:t>
              <w:br/>
              <w:t>     consolidated balance sheets: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640,192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income tax refunds net of income taxes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Notes exchanged for common stock</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328,017</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APELLIS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notes_to_consolidated_financial_statemen"/>
      <w:bookmarkEnd w:id="21"/>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 Nature of Organization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was incorporated in September 2009 under the laws of the State of Delaware. The Company’s principal executive offices are located in Waltham, Massachusetts.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operations since inception have been limited to organizing and staffing the Company, acquiring rights to product candidates, business planning, raising capital, developing its product candidates, commercializing EMPAVELI (pegcetacoplan) for the treatment of paroxysmal nocturnal hemoglobinuria (“PNH”) and commercializing SYFOVRE (pegcetacoplan injection) for the treatment of geographic atrophy secondary to age-related macular degeneration (“GA”).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Follow-on Public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22, 2023, the Company issued and sold 4,007,936 shares of common stock and, in lieu of common stock to investor who so chose, pre-funded warrants to purchase 2,380,956 shares of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The Company received total net proceeds of $384.4 million, after deducting underwriting discounts and commissions of $18.8 million and offering costs of $0.3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28, 2022, the Company issued and sold 8,563,830 shares of its common stock at a price per share to the public of $47.00 in a follow-on public offering including an additional 1,117,021 shares of its common stock that were sold at the follow-on public offering price of $47.00 per share pursuant to the underwriters’ agreement in full exercise of their option to purchase additional shares of common stock. The Company received net proceeds of approximately $380.1 million after deducting underwriting discounts and commissions of approximately $22.1 million and offering costs of $0.3 million for these transactions.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November 18, 2021, the Company issued and sold 10,062,500 shares of its common stock at a price per share to the public of $40.00 in a follow-on public offering including an additional 1,312,500 shares of its common stock that were sold at the follow-on public offering price of $40.00 per share pursuant to the underwriters’ agreement in full exercise of their option to purchase additional shares of common stock. The Company received net proceeds of approximately $380.4 million after deducting underwriting discounts and commissions of approximately $22.1 million and offering costs of $0.6 million for these transactions.</w:t>
      </w:r>
    </w:p>
    <w:p>
      <w:pPr>
        <w:pStyle w:val="TextBody"/>
        <w:bidi w:val="0"/>
        <w:spacing w:before="20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From inception to December 31, 2023, the Company has incurred cash outflows from operations, losses from operations, and had an accumulated deficit of $2.8 billion, primarily as a result of expenses incurred through a combination of research and development activities related to the Company’s various product candidates and expenses supporting those activities. The Company has primarily financed its operations through public offerings of its common stock, convertible debt, private placements of preferred stock prior to its initial public offering, the development funding agreement with SFJ, and the collaboration agreement with Sobi. The Company has financed a portion of its operations through product sales but has not yet achieved profitability.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believes that its cash and cash equivalents of $351.2 million at December 31, 2023 and the cash anticipated to be generated from the unwind of the capped call transactions, together with cash anticipated to be generated from sales of EMPAVELI and from SYFOVRE will be sufficient to fund its operations and capital expenditure requirements for at least twelve months from the date of issuance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the Company and its wholly-owned subsidiaries. All intercompany balances and transactions have been eliminated in consolidation. The consolidated financial statements have been prepared in conformity with accounting principles generally accepted in the United States (“U.S. GAAP”) and following the requirements of the Securities and Exchange Commission (the “SEC”).</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revenues consist of product sales of EMPAVELI and SYFOVRE and revenue derived from its collaboration arrangement with Sobi. See Note 12, License and Collaboration Agreements for further discussion related to the Sobi Collaboration and License Agreement.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accounts for contracts with its customers in accordance with ASC Topic 606, </w:t>
      </w:r>
      <w:r>
        <w:rPr>
          <w:rFonts w:ascii="Times New Roman" w:hAnsi="Times New Roman"/>
          <w:i/>
          <w:color w:val="000000"/>
          <w:sz w:val="20"/>
        </w:rPr>
        <w:t>Revenue from Contracts with Customers, (</w:t>
      </w:r>
      <w:r>
        <w:rPr>
          <w:rFonts w:ascii="Times New Roman" w:hAnsi="Times New Roman"/>
          <w:color w:val="000000"/>
          <w:sz w:val="20"/>
        </w:rPr>
        <w:t>“ASC 606”). Pursuant to ASC 606, for arrangements or transactions between participants determined to be within the scope of the contracts with customers guidance, the Company performs the following five steps to determine the appropriate amount of revenue to be recognized as the Company fulfills its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pStyle w:val="TextBody"/>
        <w:bidi w:val="0"/>
        <w:spacing w:before="200" w:after="283"/>
        <w:jc w:val="left"/>
        <w:rPr>
          <w:rFonts w:ascii="Times New Roman" w:hAnsi="Times New Roman"/>
          <w:sz w:val="20"/>
        </w:rPr>
      </w:pPr>
      <w:r>
        <w:rPr>
          <w:rFonts w:ascii="Times New Roman" w:hAnsi="Times New Roman"/>
          <w:b/>
          <w:i/>
          <w:color w:val="000000"/>
          <w:sz w:val="20"/>
        </w:rPr>
        <w:t>Product Revenue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revenue from net product sales was generated in the United States following the FDA’s approval for marketing of EMPAVELI for the treatment of PNH in May 2021 and SYFOVRE in February 2023. The Company sells EMPAVELI and SYFOVRE principally through arrangements with specialty pharmacies (“SPs”) and specialty distributors (“SDs”), who are the Company’s customers. The customers subsequently resell the product to patients and health care providers. The Company applies the ASC 606 five step process discussed above to the contracts with SPs and SDs. The Company provides limited right of return to the customers in cases of shipment errors or expiring or defective products. Product revenues are recognized when the customers take control of the product, which typically occurs upon delivery to the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recognizes revenue from product sales at the net sales price which includes estimates of variable consideration for which reserves are established and reflects each of these as a reduction to revenue. Overall, these reserves reflect the Company’s best estimates of the amount of consideration to which the Company is entitled based on the terms of the contract. The amount of variable consideration that is included in the transaction price may be constrained. Actual amounts of consideration ultimately received may differ from the Company’s estimates. If actual results in the future vary from estimates, the Company may need to adjust its estimates, which would affect net revenue in the period of adjustment. The following are the Company’s significant categories of variable consideration:</w:t>
      </w:r>
    </w:p>
    <w:p>
      <w:pPr>
        <w:pStyle w:val="TextBody"/>
        <w:bidi w:val="0"/>
        <w:spacing w:before="200" w:after="283"/>
        <w:jc w:val="left"/>
        <w:rPr>
          <w:rFonts w:ascii="Times New Roman" w:hAnsi="Times New Roman"/>
          <w:sz w:val="20"/>
        </w:rPr>
      </w:pPr>
      <w:r>
        <w:rPr>
          <w:rFonts w:ascii="Times New Roman" w:hAnsi="Times New Roman"/>
          <w:i/>
          <w:color w:val="000000"/>
          <w:sz w:val="20"/>
        </w:rPr>
        <w:t>Distribution Fees</w:t>
      </w:r>
      <w:r>
        <w:rPr>
          <w:rFonts w:ascii="Times New Roman" w:hAnsi="Times New Roman"/>
          <w:color w:val="000000"/>
          <w:sz w:val="20"/>
        </w:rPr>
        <w:t>: Distribution fees include distribution service fees paid to SPs and SDs based on a contractually fixed percentage of the wholesale acquisition cost (WAC). The Company does not receive a distinct good or service in exchange for the payment. Distribution fees are recorded as an offset to revenue based on contractual terms at the time revenue from the sale is recognized.</w:t>
      </w:r>
    </w:p>
    <w:p>
      <w:pPr>
        <w:pStyle w:val="TextBody"/>
        <w:bidi w:val="0"/>
        <w:spacing w:before="200" w:after="283"/>
        <w:jc w:val="left"/>
        <w:rPr>
          <w:rFonts w:ascii="Times New Roman" w:hAnsi="Times New Roman"/>
          <w:sz w:val="20"/>
        </w:rPr>
      </w:pPr>
      <w:r>
        <w:rPr>
          <w:rFonts w:ascii="Times New Roman" w:hAnsi="Times New Roman"/>
          <w:i/>
          <w:color w:val="000000"/>
          <w:sz w:val="20"/>
        </w:rPr>
        <w:t>Chargebacks</w:t>
      </w:r>
      <w:r>
        <w:rPr>
          <w:rFonts w:ascii="Times New Roman" w:hAnsi="Times New Roman"/>
          <w:color w:val="000000"/>
          <w:sz w:val="20"/>
        </w:rPr>
        <w:t>: Chargebacks are discounts and fees related to contracts with various third-party payers including pharmacy benefit managers, private healthcare insurers and government healthcare programs that purchase from SDs at a discounted price. SDs charge back to the Company the difference between the price initially paid by SDs and the discounted price paid to SDs by these entities. The Company issues credit notes for the chargeback which are applied to future sales.</w:t>
      </w:r>
    </w:p>
    <w:p>
      <w:pPr>
        <w:pStyle w:val="TextBody"/>
        <w:bidi w:val="0"/>
        <w:spacing w:before="200" w:after="283"/>
        <w:jc w:val="left"/>
        <w:rPr>
          <w:rFonts w:ascii="Times New Roman" w:hAnsi="Times New Roman"/>
          <w:sz w:val="20"/>
        </w:rPr>
      </w:pPr>
      <w:r>
        <w:rPr>
          <w:rFonts w:ascii="Times New Roman" w:hAnsi="Times New Roman"/>
          <w:i/>
          <w:color w:val="000000"/>
          <w:sz w:val="20"/>
        </w:rPr>
        <w:t>Product Returns</w:t>
      </w:r>
      <w:r>
        <w:rPr>
          <w:rFonts w:ascii="Times New Roman" w:hAnsi="Times New Roman"/>
          <w:color w:val="000000"/>
          <w:sz w:val="20"/>
        </w:rPr>
        <w:t xml:space="preserve">: Consistent with industry practice, the Company offers SPs and SDs limited product return rights for shipment errors or expiring or defective products; provided that the return is within a specified period around the product expiration date as set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forth in the applicable individual distribution agreement. The Company does not allow product returns for product that has been dispensed to a patient. As the Company receives inventory reports from SPs and SDs and has visibility into the inventory distribution channel, it is able to make a reasonable estimate of future potential product returns based on this on-hand channel inventory data and sell-through data obtained from SPs and SDs. In arriving at its estimate for product returns, the Company also considers historical product returns (to the extent available), the underlying product demand, and industry data specific to the specialty pharmaceutical distribution industry.</w:t>
      </w:r>
    </w:p>
    <w:p>
      <w:pPr>
        <w:pStyle w:val="TextBody"/>
        <w:bidi w:val="0"/>
        <w:spacing w:before="200" w:after="283"/>
        <w:jc w:val="left"/>
        <w:rPr>
          <w:rFonts w:ascii="Times New Roman" w:hAnsi="Times New Roman"/>
          <w:sz w:val="20"/>
        </w:rPr>
      </w:pPr>
      <w:r>
        <w:rPr>
          <w:rFonts w:ascii="Times New Roman" w:hAnsi="Times New Roman"/>
          <w:b/>
          <w:i/>
          <w:color w:val="000000"/>
          <w:sz w:val="20"/>
        </w:rPr>
        <w:t>Licensing and Collaboration Revenue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analyzes license and collaboration arrangements pursuant to ASC Topic 808, </w:t>
      </w:r>
      <w:r>
        <w:rPr>
          <w:rFonts w:ascii="Times New Roman" w:hAnsi="Times New Roman"/>
          <w:i/>
          <w:color w:val="000000"/>
          <w:sz w:val="20"/>
        </w:rPr>
        <w:t>Collaborative Arrangement Guidance and Considerations,</w:t>
      </w:r>
      <w:r>
        <w:rPr>
          <w:rFonts w:ascii="Times New Roman" w:hAnsi="Times New Roman"/>
          <w:color w:val="000000"/>
          <w:sz w:val="20"/>
        </w:rPr>
        <w:t xml:space="preserve"> (“ASC 808”)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guidance or if they are more reflective of a vendor-customer relationship and, therefore, within the scope of ASC 606. This assessment is performed throughout the life of the arrangement based on changes in the responsibilities of all parties in the arrangement.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elements of collaboration arrangements that are not accounted for pursuant to guidance in ASC 606, an appropriate recognition method is determined and applied consistently, generally by analogy to the revenue from contracts with customers guidance. Amounts related to transactions with a counterparty in a collaborative arrangement that is not a customer are presented as collaboration revenue and in a separate line item from revenue recognized from contracts with customers, if any, in the consolidated statements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ASC 606, for arrangements or transactions between arrangement participants determined to be within the scope of the contracts with customers guidance, the Company performs the five-step process discussed above to determine the appropriate amount of revenue to be recognized as the Company fulfills its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evaluate the performance obligations promised in the contract that are based on goods and services that will be transferred to the customer and determine whether those obligations are both (i) capable of being distinct and (ii) distinct in the context of the contract. Goods or services that meet these criteria are considered distinct performance obligations. 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transaction price and the likelihood that the transaction price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 Arrangements that include rights to additional goods or services that are exercisable at a customer’s discretion are generally considered options. The Company assesses if these options provide a material right to the customer and, if so, these options are considered performance obligations. The Company has not currently identified any such material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After contract inception, the transaction price is reassessed at every period end and updated for changes such as resolution of uncertain events. Any change in the overall transaction price is allocated to the performance obligations on the same methodology as at contract inception.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12, License and Collaboration Agreements, for further discussion related to the Sobi collaboration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development liability, accrued expenses, prepaid expenses, convertible debt, reserves for variable consideration, reserves for excess or obsolete inventories, and income taxes.</w:t>
      </w:r>
    </w:p>
    <w:p>
      <w:pPr>
        <w:pStyle w:val="TextBody"/>
        <w:bidi w:val="0"/>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prices included within level 1 that are observable for the asset or liability,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that reflect the Company’s own assumptions about the assumptions market participants would use in pricing the asset or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financial instruments, in addition to those presented in Note 8, Long-term Debt, and Note 11, Fair Value Measurements, include cash and cash equivalents, accounts payable and accrued liabilities. Management believes that the carrying amounts of cash and cash equivalents, accounts payable and accrued expenses approximate the fair value due to the short-term nature of those instruments.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and cash equivalents are defined as cash in banks and investment instruments having maturities of three months or less from their acquisition date. The carrying amounts reported in the consolidated balance sheets for cash and cash equivalents are valued at cost, which approximates the fair value. See Note 11, Fair Value Measurements, for additional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accounts receivable primarily arise from product sales. They are generally stated at the invoiced amount and do not bear interest. The accounts receivable from product sales represents receivables due from the Company’s SPs or SDs. The Company has had no historical write offs of its accounts receivable as of December 31, 2023, and its payment terms are generally 30-65 days for EMPAVELI and 60-150 days for SYFOVRE. The Company monitors the financial performance and creditworthiness of its customers and provides reserves against trade receivables for expected credit losses that may result from a customer’s inability to pay. Amounts determined to be uncollectible are written-off against the established reserve. As of December 31, 2023 and 2022, the credit profiles for the Company’s customers were deemed to be in good standing and an allowance for credit losses was not considered necessary.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Inventory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Inventory is recorded at the lower of cost or net realizable value, with cost determined on a first-in, first-out basis. Inventory costs include third-party contract manufacturing, third-party packaging services, and freight. 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If actual market conditions are less favorable than projected by management, additional write-downs of inventory may be required which would be recorded as a cost of sales in the consolidated statements of operations and comprehensive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regulatory approval of its product candidates, the Company expensed costs associated with the manufacturing of its product candidates to research and development expense unless the Company was reasonably certain such costs have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commercial use and net realizable value. When the Company believes regulatory approval and subsequent commercialization of its product candidates is probable, and the Company also expects future economic benefit from the sales of the product candidates to be realized, the Company will then capitalize the costs of production as inventory. Inventory that can be used in either the production of clinical or commercial product is expensed as research and development expense when selected for use in a clinical manufacturing campaign.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receiving FDA approval for EMPAVELI on May 14, 2021, the Company included in research and development expense the costs associated with the manufacture of EMPAVELI inventory to be sold upon commercialization. As a result, the manufacturing costs related to the EMPAVELI inventory build-up incurred before FDA approval were expensed in a prior period and are, therefore, excluded from the cost of goods sold and inventory. As of December 31, 2023, the remaining pre-FDA approved inventory was $19.4 million, which primarily consisted of raw materials.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Shipping and handling costs for product shipments are recorded as incurred in cost of sales along with costs associated with manufacturing the product and any inventory write-downs.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Development Liability</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From December 15, 2021 and thereafter until the final annual payment due December 2027, the development liability will be accreted from its initial carrying amount to the total payment amount using the effective interest rate method under ASC 835 over the remaining life of the SFJ agreement as defined in Note 6. The difference between the carrying amount and the total payment amount is presented as discount to the development liability. The accretion is recorded as interest expense in the consolidated income statement.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Foreign Currency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 xml:space="preserve">The functional currency of each of the Company’s subsidiaries is its local currency, except for the wholly owned subsidiaries in Switzerland and Netherlands where the functional currency is the U.S. dollar. Revenues and expenses of the subsidiaries have been translated into U.S. dollars at average exchange rates prevailing during the respective periods. Assets and liabilities have been translated at the rates of exchange on the balance sheet date. The resulting translation gain and loss adjustments are recorded directly as a separate component of stockholders’ equity.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Costs incurred in connection with research and development activities are expensed as incurred. Research and development expenses include (i) employee-related expenses, including salaries, benefits, travel and share-based compensation expense; (ii) external research and development expenses incurred under arrangements with third parties, such as contract research and contract manufacturing organizations, investigational sites and consultants, including share-based compensation expense for consultants; (iii) the cost of acquiring, developing and manufacturing clinical study materials; and (iv) costs associated with preclinical and clinical activities and regulatory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Company’s clinical sites and vendors. These costs consist of direct and indirect costs associated with specific projects, as well as fees paid to various entities that perform certain research on behalf of the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accounts for uncertain tax positions in accordance with the provisions of ASC 740. When uncertain tax positions exist, the Company recognizes the tax benefit of tax positions to the extent that the benefit will more likely than not be realized.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determination as to whether the tax benefit will more likely than not be realized is based upon the technical merits of the tax position, as well as consideration of the available facts and circumstances. As of December 31, 2023 and 2022, the Company did not have any significant uncertain tax positions.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Share-Based Compensation -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measures stock-based compensation cost at the accounting measurement date based on the fair value of the option and recognizes the expense related to awards to employees on a straight-line basis over the requisite service period of the option, which is typically the vesting period. Forfeitures are recognized as they occur.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estimates the fair value of each option using the Black-Scholes option pricing model that considers the fair value of its common stock, the exercise price, the expected life of the option, the expected volatility of its common stock, expected dividends on its common stock, and the risk-free interest rate over the expected life of the option. The Company uses the simplified method described in the SEC's Staff Accounting Bulletin No. 107, Share-Based Payment, to determine the expected life of the option grants. The estimate of expected volatility is based on a review of the historical volatility of similar publicly held companies in the biotechnology field over a period commensurate with the option's expected term. The Company has never declared or paid any cash dividends on its common stock and does not expect to do so in the foreseeable future. Accordingly, it uses an expected dividend yield of zero. The risk-free interest rate is based on the U.S. Treasury yield curve in effect at the time of grant valuation for a period commensurate with the option's expected term. These assumptions are subjective and changes in them could significantly impact the value of the option and hence the related compensation expense. </w:t>
        <w:br/>
        <w:t> </w:t>
      </w:r>
    </w:p>
    <w:p>
      <w:pPr>
        <w:pStyle w:val="TextBody"/>
        <w:bidi w:val="0"/>
        <w:jc w:val="left"/>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include cash, cash equivalents, and marketable securities. The Company is exposed to credit risk in the event of default by the financial institutions holding its cash and the issuers of its cash equivalents and marketable securities. The Company maintains its cash, cash equivalents and marketable securities with highly-rated, federally-insured financial institutions. At times, such amounts may exceed federally-insured limits. The Company has not experienced any losses on its deposits since inception, and management believes that minimal credit risk exists with respect to these financial institutions.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Basic net loss per common share is calculated by dividing net loss by the weighted-average shares outstanding during the period. For purposes of the diluted net loss per share calculation, convertible notes and common stock options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pStyle w:val="TextBody"/>
        <w:bidi w:val="0"/>
        <w:spacing w:before="200" w:after="283"/>
        <w:jc w:val="left"/>
        <w:rPr>
          <w:rFonts w:ascii="Times New Roman" w:hAnsi="Times New Roman"/>
          <w:sz w:val="20"/>
        </w:rPr>
      </w:pPr>
      <w:r>
        <w:rPr>
          <w:rFonts w:ascii="Times New Roman" w:hAnsi="Times New Roman"/>
          <w:b/>
          <w:i/>
          <w:color w:val="000000"/>
          <w:sz w:val="20"/>
        </w:rPr>
        <w:t>Comprehensive Loss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components of comprehensive loss other than its net loss, are foreign currency gains/losses recorded from the remeasurement of the long-term intra-entity loan transaction to the Company’s wholly owned subsidiaries, foreign currency gain/loss from the translation of the Company’s wholly owned subsidiaries into U.S. dollars, unrealized gains and losses on marketable securities, and actuarial gains (losses) and prior service costs in connection with the Company's defined benefit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2023, the Financial Accounting Standards Board ("FASB") issued an amendment to the accounting guidance on income taxes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guidance is effective for annual periods beginning after December 15, 2024. The Company is currently evaluating this guidance to determine the impact it may have on its consolidated financial statements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2023, the FASB issued an amendment to the accounting guidance on segment reporting. The amendments require disclosure of significant segment expenses and other segment items and requires entities to provide in interim periods all disclosures about a reportable segment's profit or loss and assets that are currently required annually. The amendment also requires disclosure of the title and position of the chief operating decision maker ("CODM") and an explanation of how the CODM uses the reported measure(s) of segment profit or loss in assessing segment performance and deciding how to allocate resources. The guidance is effective for fiscal years beginning after December 15, 2023, and interim periods within fiscal years beginning after December 15,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2024. Retrospective application is required, and early adoption is permitted. The Company is currently evaluating the impact the guidance will have on its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Product Revenues, Accounts Receivable, and Reserves for Product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received FDA approval for the sale of EMPAVELI in the United States in May 2021 and approval for the sale of SYFOVRE in the United States in February 2023. The Company’s product revenues, net of sales discounts and allowances and reserves as of December 31, 2023, 2022 and 2021 totaled $366.3 million, $65.1 million and $15.1 million. The Company’s product revenues consist of sales of EMPAVELI and SYFOVRE to specialty pharmacies and specialty distributors.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reflects product revenue by major source for the following periods (in thousands):</w:t>
      </w:r>
    </w:p>
    <w:p>
      <w:pPr>
        <w:pStyle w:val="TextBody"/>
        <w:bidi w:val="0"/>
        <w:jc w:val="left"/>
        <w:rPr/>
      </w:pPr>
      <w:r>
        <w:rPr/>
        <w:t> </w:t>
      </w:r>
    </w:p>
    <w:tbl>
      <w:tblPr>
        <w:tblW w:w="6213" w:type="dxa"/>
        <w:jc w:val="left"/>
        <w:tblInd w:w="0" w:type="dxa"/>
        <w:tblLayout w:type="fixed"/>
        <w:tblCellMar>
          <w:top w:w="28" w:type="dxa"/>
          <w:left w:w="28" w:type="dxa"/>
          <w:bottom w:w="28" w:type="dxa"/>
          <w:right w:w="28" w:type="dxa"/>
        </w:tblCellMar>
      </w:tblPr>
      <w:tblGrid>
        <w:gridCol w:w="2326"/>
        <w:gridCol w:w="146"/>
        <w:gridCol w:w="211"/>
        <w:gridCol w:w="781"/>
        <w:gridCol w:w="146"/>
        <w:gridCol w:w="146"/>
        <w:gridCol w:w="211"/>
        <w:gridCol w:w="676"/>
        <w:gridCol w:w="146"/>
        <w:gridCol w:w="146"/>
        <w:gridCol w:w="211"/>
        <w:gridCol w:w="676"/>
        <w:gridCol w:w="3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2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EMPAVELI</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2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SYFOVRE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product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accounts receivable balance of $206.4 million as of December 31, 2023 and $7.7 million as of December 31, 2022 primarily consisted of EMPAVELI and SYFOVRE product sales receivable and licensing and other revenue receivables from its collaboration with Sobi. The Company does not have a reserve related to expected credit losses against its accounts receivable balance and expects to collect its accounts receivable in the ordinary course of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product sales reserves totaled $16.6 million and $2.4 million as of December 31, 2023 and 2022. respectively. These amounts are included in accrued expenses on the Company’s consolidated balance sheet as of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activity in each of the product revenue allowance and reserve categories as of December 31, 2023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0"/>
        <w:gridCol w:w="246"/>
        <w:gridCol w:w="422"/>
        <w:gridCol w:w="1478"/>
        <w:gridCol w:w="266"/>
        <w:gridCol w:w="246"/>
        <w:gridCol w:w="389"/>
        <w:gridCol w:w="1362"/>
        <w:gridCol w:w="266"/>
        <w:gridCol w:w="246"/>
        <w:gridCol w:w="211"/>
        <w:gridCol w:w="631"/>
        <w:gridCol w:w="266"/>
        <w:gridCol w:w="246"/>
        <w:gridCol w:w="211"/>
        <w:gridCol w:w="736"/>
        <w:gridCol w:w="313"/>
      </w:tblGrid>
      <w:tr>
        <w:trPr/>
        <w:tc>
          <w:tcPr>
            <w:tcW w:w="26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Chargebacks, Discounts, and Fees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and other rebates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Returns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Ending balance at December 31, 2021</w:t>
            </w:r>
          </w:p>
        </w:tc>
        <w:tc>
          <w:tcPr>
            <w:tcW w:w="246"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70"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Provision related to sales in the current year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22" w:type="dxa"/>
            <w:tcBorders/>
            <w:shd w:fill="FFFFFF" w:val="clear"/>
            <w:vAlign w:val="center"/>
          </w:tcPr>
          <w:p>
            <w:pPr>
              <w:pStyle w:val="TableContents"/>
              <w:bidi w:val="0"/>
              <w:spacing w:before="0" w:after="283"/>
              <w:jc w:val="left"/>
              <w:rPr/>
            </w:pPr>
            <w:r>
              <w:rPr/>
              <w:t> </w:t>
            </w:r>
          </w:p>
        </w:tc>
        <w:tc>
          <w:tcPr>
            <w:tcW w:w="14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 related to prior period sales</w:t>
            </w:r>
          </w:p>
        </w:tc>
        <w:tc>
          <w:tcPr>
            <w:tcW w:w="246"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left"/>
              <w:rPr/>
            </w:pPr>
            <w:r>
              <w:rPr/>
              <w:t> </w:t>
            </w:r>
          </w:p>
        </w:tc>
        <w:tc>
          <w:tcPr>
            <w:tcW w:w="14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89" w:type="dxa"/>
            <w:tcBorders/>
            <w:shd w:fill="CFF0FC" w:val="clear"/>
            <w:vAlign w:val="center"/>
          </w:tcPr>
          <w:p>
            <w:pPr>
              <w:pStyle w:val="TableContents"/>
              <w:bidi w:val="0"/>
              <w:spacing w:before="0" w:after="283"/>
              <w:jc w:val="left"/>
              <w:rPr/>
            </w:pPr>
            <w:r>
              <w:rPr/>
              <w:t> </w:t>
            </w:r>
          </w:p>
        </w:tc>
        <w:tc>
          <w:tcPr>
            <w:tcW w:w="13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0"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Credits and payments made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Ending balance at December 31, 2022</w:t>
            </w:r>
          </w:p>
        </w:tc>
        <w:tc>
          <w:tcPr>
            <w:tcW w:w="246"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70"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Provision related to sales in the current year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22" w:type="dxa"/>
            <w:tcBorders/>
            <w:shd w:fill="FFFFFF" w:val="clear"/>
            <w:vAlign w:val="center"/>
          </w:tcPr>
          <w:p>
            <w:pPr>
              <w:pStyle w:val="TableContents"/>
              <w:bidi w:val="0"/>
              <w:spacing w:before="0" w:after="283"/>
              <w:jc w:val="left"/>
              <w:rPr/>
            </w:pPr>
            <w:r>
              <w:rPr/>
              <w:t> </w:t>
            </w:r>
          </w:p>
        </w:tc>
        <w:tc>
          <w:tcPr>
            <w:tcW w:w="14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 related to prior period sales</w:t>
            </w:r>
          </w:p>
        </w:tc>
        <w:tc>
          <w:tcPr>
            <w:tcW w:w="246" w:type="dxa"/>
            <w:tcBorders/>
            <w:shd w:fill="CFF0FC" w:val="clear"/>
            <w:vAlign w:val="center"/>
          </w:tcPr>
          <w:p>
            <w:pPr>
              <w:pStyle w:val="TableContents"/>
              <w:bidi w:val="0"/>
              <w:spacing w:before="0" w:after="283"/>
              <w:jc w:val="center"/>
              <w:rPr/>
            </w:pPr>
            <w:r>
              <w:rPr/>
              <w:t> </w:t>
            </w:r>
          </w:p>
        </w:tc>
        <w:tc>
          <w:tcPr>
            <w:tcW w:w="422" w:type="dxa"/>
            <w:tcBorders/>
            <w:shd w:fill="CFF0FC" w:val="clear"/>
            <w:vAlign w:val="center"/>
          </w:tcPr>
          <w:p>
            <w:pPr>
              <w:pStyle w:val="TableContents"/>
              <w:bidi w:val="0"/>
              <w:spacing w:before="0" w:after="283"/>
              <w:jc w:val="left"/>
              <w:rPr/>
            </w:pPr>
            <w:r>
              <w:rPr/>
              <w:t> </w:t>
            </w:r>
          </w:p>
        </w:tc>
        <w:tc>
          <w:tcPr>
            <w:tcW w:w="14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89" w:type="dxa"/>
            <w:tcBorders/>
            <w:shd w:fill="CFF0FC" w:val="clear"/>
            <w:vAlign w:val="center"/>
          </w:tcPr>
          <w:p>
            <w:pPr>
              <w:pStyle w:val="TableContents"/>
              <w:bidi w:val="0"/>
              <w:spacing w:before="0" w:after="283"/>
              <w:jc w:val="left"/>
              <w:rPr/>
            </w:pPr>
            <w:r>
              <w:rPr/>
              <w:t> </w:t>
            </w:r>
          </w:p>
        </w:tc>
        <w:tc>
          <w:tcPr>
            <w:tcW w:w="13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0"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Credits and payments made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Ending balance at December 31, 2023</w:t>
            </w:r>
          </w:p>
        </w:tc>
        <w:tc>
          <w:tcPr>
            <w:tcW w:w="246" w:type="dxa"/>
            <w:tcBorders/>
            <w:shd w:fill="CFF0FC" w:val="clear"/>
            <w:vAlign w:val="center"/>
          </w:tcPr>
          <w:p>
            <w:pPr>
              <w:pStyle w:val="TableContents"/>
              <w:bidi w:val="0"/>
              <w:spacing w:before="0" w:after="283"/>
              <w:jc w:val="left"/>
              <w:rPr/>
            </w:pPr>
            <w:r>
              <w:rPr/>
              <w:t> </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Significant customers - Gross product revenues and product sales receivable from the Company's customers who individually accounted for 10% of more of total gross product revenues and/or 10% or more of total product sales receivable consisted of the following:</w:t>
      </w:r>
    </w:p>
    <w:p>
      <w:pPr>
        <w:pStyle w:val="TextBody"/>
        <w:bidi w:val="0"/>
        <w:jc w:val="left"/>
        <w:rPr/>
      </w:pPr>
      <w:r>
        <w:rPr/>
        <w:t> </w:t>
      </w:r>
    </w:p>
    <w:tbl>
      <w:tblPr>
        <w:tblW w:w="4491" w:type="dxa"/>
        <w:jc w:val="left"/>
        <w:tblInd w:w="0" w:type="dxa"/>
        <w:tblLayout w:type="fixed"/>
        <w:tblCellMar>
          <w:top w:w="28" w:type="dxa"/>
          <w:left w:w="28" w:type="dxa"/>
          <w:bottom w:w="28" w:type="dxa"/>
          <w:right w:w="28" w:type="dxa"/>
        </w:tblCellMar>
      </w:tblPr>
      <w:tblGrid>
        <w:gridCol w:w="1051"/>
        <w:gridCol w:w="146"/>
        <w:gridCol w:w="785"/>
        <w:gridCol w:w="238"/>
        <w:gridCol w:w="238"/>
        <w:gridCol w:w="564"/>
        <w:gridCol w:w="238"/>
        <w:gridCol w:w="238"/>
        <w:gridCol w:w="238"/>
        <w:gridCol w:w="564"/>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 Gross Product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Customer A</w:t>
            </w:r>
          </w:p>
        </w:tc>
        <w:tc>
          <w:tcPr>
            <w:tcW w:w="146" w:type="dxa"/>
            <w:tcBorders/>
            <w:shd w:fill="CFF0FC" w:val="clear"/>
            <w:vAlign w:val="center"/>
          </w:tcPr>
          <w:p>
            <w:pPr>
              <w:pStyle w:val="TableContents"/>
              <w:bidi w:val="0"/>
              <w:spacing w:before="0" w:after="283"/>
              <w:jc w:val="center"/>
              <w:rPr/>
            </w:pPr>
            <w:r>
              <w:rPr/>
              <w:t> </w:t>
            </w:r>
          </w:p>
        </w:tc>
        <w:tc>
          <w:tcPr>
            <w:tcW w:w="78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238" w:type="dxa"/>
            <w:tcBorders/>
            <w:shd w:fill="CFF0FC" w:val="clear"/>
            <w:vAlign w:val="center"/>
          </w:tcPr>
          <w:p>
            <w:pPr>
              <w:pStyle w:val="TableContents"/>
              <w:bidi w:val="0"/>
              <w:spacing w:before="0" w:after="283"/>
              <w:jc w:val="right"/>
              <w:rPr/>
            </w:pPr>
            <w:r>
              <w:rPr/>
              <w:t> </w:t>
            </w:r>
          </w:p>
        </w:tc>
        <w:tc>
          <w:tcPr>
            <w:tcW w:w="802"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238"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right"/>
              <w:rPr/>
            </w:pPr>
            <w:r>
              <w:rPr/>
              <w:t> </w:t>
            </w:r>
          </w:p>
        </w:tc>
        <w:tc>
          <w:tcPr>
            <w:tcW w:w="802"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191" w:type="dxa"/>
            <w:tcBorders/>
            <w:shd w:fill="CFF0FC" w:val="cle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Customer C</w:t>
            </w:r>
          </w:p>
        </w:tc>
        <w:tc>
          <w:tcPr>
            <w:tcW w:w="146" w:type="dxa"/>
            <w:tcBorders/>
            <w:shd w:fill="FFFFFF" w:val="clear"/>
            <w:vAlign w:val="center"/>
          </w:tcPr>
          <w:p>
            <w:pPr>
              <w:pStyle w:val="TableContents"/>
              <w:bidi w:val="0"/>
              <w:spacing w:before="0" w:after="283"/>
              <w:jc w:val="center"/>
              <w:rPr/>
            </w:pPr>
            <w:r>
              <w:rPr/>
              <w:t> </w:t>
            </w:r>
          </w:p>
        </w:tc>
        <w:tc>
          <w:tcPr>
            <w:tcW w:w="78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238"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color w:val="000000"/>
              </w:rPr>
            </w:pPr>
            <w:r>
              <w:rPr>
                <w:color w:val="000000"/>
              </w:rPr>
              <w:t>—</w:t>
            </w:r>
          </w:p>
        </w:tc>
        <w:tc>
          <w:tcPr>
            <w:tcW w:w="23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Customer D</w:t>
            </w:r>
          </w:p>
        </w:tc>
        <w:tc>
          <w:tcPr>
            <w:tcW w:w="146" w:type="dxa"/>
            <w:tcBorders/>
            <w:shd w:fill="CFF0FC" w:val="clear"/>
            <w:vAlign w:val="center"/>
          </w:tcPr>
          <w:p>
            <w:pPr>
              <w:pStyle w:val="TableContents"/>
              <w:bidi w:val="0"/>
              <w:spacing w:before="0" w:after="283"/>
              <w:jc w:val="center"/>
              <w:rPr/>
            </w:pPr>
            <w:r>
              <w:rPr/>
              <w:t> </w:t>
            </w:r>
          </w:p>
        </w:tc>
        <w:tc>
          <w:tcPr>
            <w:tcW w:w="78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238" w:type="dxa"/>
            <w:tcBorders/>
            <w:shd w:fill="CFF0FC" w:val="clear"/>
            <w:vAlign w:val="center"/>
          </w:tcPr>
          <w:p>
            <w:pPr>
              <w:pStyle w:val="TableContents"/>
              <w:bidi w:val="0"/>
              <w:spacing w:before="0" w:after="283"/>
              <w:jc w:val="right"/>
              <w:rPr/>
            </w:pPr>
            <w:r>
              <w:rPr/>
              <w:t> </w:t>
            </w:r>
          </w:p>
        </w:tc>
        <w:tc>
          <w:tcPr>
            <w:tcW w:w="802"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238"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4103" w:type="dxa"/>
        <w:jc w:val="left"/>
        <w:tblInd w:w="0" w:type="dxa"/>
        <w:tblLayout w:type="fixed"/>
        <w:tblCellMar>
          <w:top w:w="28" w:type="dxa"/>
          <w:left w:w="28" w:type="dxa"/>
          <w:bottom w:w="28" w:type="dxa"/>
          <w:right w:w="28" w:type="dxa"/>
        </w:tblCellMar>
      </w:tblPr>
      <w:tblGrid>
        <w:gridCol w:w="1051"/>
        <w:gridCol w:w="146"/>
        <w:gridCol w:w="1146"/>
        <w:gridCol w:w="359"/>
        <w:gridCol w:w="359"/>
        <w:gridCol w:w="85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Product Sales Receivable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Customer A</w:t>
            </w:r>
          </w:p>
        </w:tc>
        <w:tc>
          <w:tcPr>
            <w:tcW w:w="146" w:type="dxa"/>
            <w:tcBorders/>
            <w:shd w:fill="CFF0FC" w:val="clear"/>
            <w:vAlign w:val="center"/>
          </w:tcPr>
          <w:p>
            <w:pPr>
              <w:pStyle w:val="TableContents"/>
              <w:bidi w:val="0"/>
              <w:spacing w:before="0" w:after="283"/>
              <w:jc w:val="right"/>
              <w:rPr/>
            </w:pPr>
            <w:r>
              <w:rPr/>
              <w:t> </w:t>
            </w:r>
          </w:p>
        </w:tc>
        <w:tc>
          <w:tcPr>
            <w:tcW w:w="114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359" w:type="dxa"/>
            <w:tcBorders/>
            <w:shd w:fill="CFF0FC" w:val="clear"/>
            <w:vAlign w:val="center"/>
          </w:tcPr>
          <w:p>
            <w:pPr>
              <w:pStyle w:val="TableContents"/>
              <w:bidi w:val="0"/>
              <w:spacing w:before="0" w:after="283"/>
              <w:jc w:val="right"/>
              <w:rPr/>
            </w:pPr>
            <w:r>
              <w:rPr/>
              <w:t> </w:t>
            </w:r>
          </w:p>
        </w:tc>
        <w:tc>
          <w:tcPr>
            <w:tcW w:w="1210" w:type="dxa"/>
            <w:gridSpan w:val="2"/>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96%</w:t>
            </w:r>
          </w:p>
        </w:tc>
        <w:tc>
          <w:tcPr>
            <w:tcW w:w="191" w:type="dxa"/>
            <w:tcBorders/>
            <w:shd w:fill="CFF0FC" w:val="cle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Customer C</w:t>
            </w:r>
          </w:p>
        </w:tc>
        <w:tc>
          <w:tcPr>
            <w:tcW w:w="146" w:type="dxa"/>
            <w:tcBorders/>
            <w:shd w:fill="FFFFFF" w:val="clear"/>
            <w:vAlign w:val="center"/>
          </w:tcPr>
          <w:p>
            <w:pPr>
              <w:pStyle w:val="TableContents"/>
              <w:bidi w:val="0"/>
              <w:spacing w:before="0" w:after="283"/>
              <w:jc w:val="right"/>
              <w:rPr/>
            </w:pPr>
            <w:r>
              <w:rPr/>
              <w:t> </w:t>
            </w:r>
          </w:p>
        </w:tc>
        <w:tc>
          <w:tcPr>
            <w:tcW w:w="114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c>
          <w:tcPr>
            <w:tcW w:w="359" w:type="dxa"/>
            <w:tcBorders/>
            <w:shd w:fill="FFFFFF" w:val="clear"/>
            <w:vAlign w:val="center"/>
          </w:tcPr>
          <w:p>
            <w:pPr>
              <w:pStyle w:val="TableContents"/>
              <w:bidi w:val="0"/>
              <w:spacing w:before="0" w:after="283"/>
              <w:jc w:val="right"/>
              <w:rPr/>
            </w:pPr>
            <w:r>
              <w:rPr/>
              <w:t> </w:t>
            </w:r>
          </w:p>
        </w:tc>
        <w:tc>
          <w:tcPr>
            <w:tcW w:w="1210"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91" w:type="dxa"/>
            <w:tcBorders/>
            <w:shd w:fill="FFFFFF" w:val="cle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Customer D</w:t>
            </w:r>
          </w:p>
        </w:tc>
        <w:tc>
          <w:tcPr>
            <w:tcW w:w="146" w:type="dxa"/>
            <w:tcBorders/>
            <w:shd w:fill="CFF0FC" w:val="clear"/>
            <w:vAlign w:val="center"/>
          </w:tcPr>
          <w:p>
            <w:pPr>
              <w:pStyle w:val="TableContents"/>
              <w:bidi w:val="0"/>
              <w:spacing w:before="0" w:after="283"/>
              <w:jc w:val="right"/>
              <w:rPr/>
            </w:pPr>
            <w:r>
              <w:rPr/>
              <w:t> </w:t>
            </w:r>
          </w:p>
        </w:tc>
        <w:tc>
          <w:tcPr>
            <w:tcW w:w="114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w:t>
            </w:r>
          </w:p>
        </w:tc>
        <w:tc>
          <w:tcPr>
            <w:tcW w:w="359" w:type="dxa"/>
            <w:tcBorders/>
            <w:shd w:fill="CFF0FC" w:val="clear"/>
            <w:vAlign w:val="center"/>
          </w:tcPr>
          <w:p>
            <w:pPr>
              <w:pStyle w:val="TableContents"/>
              <w:bidi w:val="0"/>
              <w:spacing w:before="0" w:after="283"/>
              <w:jc w:val="right"/>
              <w:rPr/>
            </w:pPr>
            <w:r>
              <w:rPr/>
              <w:t> </w:t>
            </w:r>
          </w:p>
        </w:tc>
        <w:tc>
          <w:tcPr>
            <w:tcW w:w="359"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Inventory</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inventory of EMPAVELI and SYFOVRE consisted of the following as of December 31, 2023, and December 31, 2022 (in thousands):</w:t>
      </w:r>
    </w:p>
    <w:p>
      <w:pPr>
        <w:pStyle w:val="TextBody"/>
        <w:bidi w:val="0"/>
        <w:jc w:val="left"/>
        <w:rPr/>
      </w:pPr>
      <w:r>
        <w:rPr/>
        <w:t> </w:t>
      </w:r>
    </w:p>
    <w:tbl>
      <w:tblPr>
        <w:tblW w:w="4494" w:type="dxa"/>
        <w:jc w:val="left"/>
        <w:tblInd w:w="0" w:type="dxa"/>
        <w:tblLayout w:type="fixed"/>
        <w:tblCellMar>
          <w:top w:w="28" w:type="dxa"/>
          <w:left w:w="28" w:type="dxa"/>
          <w:bottom w:w="28" w:type="dxa"/>
          <w:right w:w="28" w:type="dxa"/>
        </w:tblCellMar>
      </w:tblPr>
      <w:tblGrid>
        <w:gridCol w:w="1786"/>
        <w:gridCol w:w="146"/>
        <w:gridCol w:w="211"/>
        <w:gridCol w:w="781"/>
        <w:gridCol w:w="146"/>
        <w:gridCol w:w="146"/>
        <w:gridCol w:w="211"/>
        <w:gridCol w:w="676"/>
        <w:gridCol w:w="3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29,847</w:t>
            </w:r>
          </w:p>
        </w:tc>
        <w:tc>
          <w:tcPr>
            <w:tcW w:w="3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Semi-finished goods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54,101</w:t>
            </w:r>
          </w:p>
        </w:tc>
        <w:tc>
          <w:tcPr>
            <w:tcW w:w="3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Inventory amounts written down as a result of excess, obsolete, unmarketability or other reasons are charged to cost of sales. For the years ended December 31, 2023 and 2022, the Company recognized write-downs of $6.4 million and $1.5 million, respectively.</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Prepaid and Other Current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Prepaid assets and other current assets consisted of the following as of December 31, 2023, and December 31, 2022 (in thousands):</w:t>
      </w:r>
    </w:p>
    <w:p>
      <w:pPr>
        <w:pStyle w:val="TextBody"/>
        <w:bidi w:val="0"/>
        <w:jc w:val="both"/>
        <w:rPr/>
      </w:pPr>
      <w:r>
        <w:rPr/>
        <w:t> </w:t>
      </w:r>
    </w:p>
    <w:tbl>
      <w:tblPr>
        <w:tblW w:w="5499" w:type="dxa"/>
        <w:jc w:val="left"/>
        <w:tblInd w:w="0" w:type="dxa"/>
        <w:tblLayout w:type="fixed"/>
        <w:tblCellMar>
          <w:top w:w="28" w:type="dxa"/>
          <w:left w:w="28" w:type="dxa"/>
          <w:bottom w:w="28" w:type="dxa"/>
          <w:right w:w="28" w:type="dxa"/>
        </w:tblCellMar>
      </w:tblPr>
      <w:tblGrid>
        <w:gridCol w:w="2896"/>
        <w:gridCol w:w="146"/>
        <w:gridCol w:w="211"/>
        <w:gridCol w:w="676"/>
        <w:gridCol w:w="146"/>
        <w:gridCol w:w="146"/>
        <w:gridCol w:w="211"/>
        <w:gridCol w:w="676"/>
        <w:gridCol w:w="3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payments for inventory</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c>
          <w:tcPr>
            <w:tcW w:w="3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15,181</w:t>
            </w:r>
          </w:p>
        </w:tc>
        <w:tc>
          <w:tcPr>
            <w:tcW w:w="3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254" w:type="dxa"/>
        <w:jc w:val="left"/>
        <w:tblInd w:w="0" w:type="dxa"/>
        <w:tblLayout w:type="fixed"/>
        <w:tblCellMar>
          <w:top w:w="28" w:type="dxa"/>
          <w:left w:w="28" w:type="dxa"/>
          <w:bottom w:w="28" w:type="dxa"/>
          <w:right w:w="28" w:type="dxa"/>
        </w:tblCellMar>
      </w:tblPr>
      <w:tblGrid>
        <w:gridCol w:w="3751"/>
        <w:gridCol w:w="146"/>
        <w:gridCol w:w="211"/>
        <w:gridCol w:w="676"/>
        <w:gridCol w:w="146"/>
        <w:gridCol w:w="146"/>
        <w:gridCol w:w="211"/>
        <w:gridCol w:w="676"/>
        <w:gridCol w:w="2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receivable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29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ERC credit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w:t>
            </w:r>
          </w:p>
        </w:tc>
        <w:tc>
          <w:tcPr>
            <w:tcW w:w="29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collaboration agreement (1)</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9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and other current assets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Calibri;sans-serif" w:hAnsi="Calibri;sans-serif"/>
          <w:sz w:val="22"/>
        </w:rPr>
      </w:pPr>
      <w:r>
        <w:rPr>
          <w:rFonts w:ascii="Times New Roman" w:hAnsi="Times New Roman"/>
          <w:color w:val="000000"/>
          <w:sz w:val="20"/>
        </w:rPr>
        <w:t>In January 2024 the Company waived the remaining reimbursement payment of $15.0</w:t>
      </w:r>
      <w:r>
        <w:rPr>
          <w:rFonts w:ascii="Calibri;sans-serif" w:hAnsi="Calibri;sans-serif"/>
          <w:color w:val="000000"/>
          <w:sz w:val="22"/>
        </w:rPr>
        <w:t xml:space="preserve"> </w:t>
      </w:r>
      <w:r>
        <w:rPr>
          <w:rFonts w:ascii="Times New Roman" w:hAnsi="Times New Roman"/>
          <w:color w:val="000000"/>
          <w:sz w:val="20"/>
        </w:rPr>
        <w:t>million in connection with the decision to discontinue the CAD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provisions of the Coronavirus Aid, Relief, and Economic Security Act (the “CARES Act”) signed into law on March 27, 2020 and the subsequent extension of the CARES Act, the Company was eligible for a refundable employee retention credit (“ERC”) subject to certain criteria. The ERC provides eligible employers with less than 500 employees a refundable tax credit against the employer’s share of social security taxes. The ERC is equal to 70% of qualified wages paid to employees during 2021 calendar year for a maximum credit of $7,000 per employee for each calendar quarter through September 30, 2021. In November 2022, the Company filed for an $8.7 million refund under the CARES Act relating to the ERC. The full refund amount was received in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Development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28, 2019, the Company entered into a development funding agreement with SFJ (the “SFJ agreement”), under which SFJ agreed to provide funding to the Company to support the development of pegcetacoplan for the treatment of patients with PNH. Pursuant to the agreement, SFJ paid the Company $60.0 million following the signing of the agreement and agreed to pay the Company up to an additional $60.0 million in the aggregate in three equal installments upon the achievement of specified development milestones with respect to the Company’s Phase 3 program for pegcetacoplan in PNH and subject to the Company having cash resources at the time sufficient to fund at least 10 months of the Company’s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 xml:space="preserve">In June 2019 we amended the SFJ agreement to include an additional $20 million funding payment. SFJ paid us $80.0 million under the amended SFJ agreement between June 2019 and January 2020.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SFJ agreement, following regulatory approval by the FDA in May 2021 for the use of systemic pegcetacoplan as a treatment for PNH, the Company became obligated to pay SFJ an initial payment of $4.0 million and then an additional $226.0 million in the aggregate in six additional annual payments with the majority of the payments being made from the third anniversary to the sixth anniversary of regulatory approval. The Company paid SFJ the initial payment of $4.0 million in June 2021, its first annual payment of $11.5 million in May 2022 and its second annual payment of $24.5 million in May 2023. The subsequent annual payments remaining are due and payable in May of each year from 2024 through 2027. </w:t>
      </w:r>
    </w:p>
    <w:p>
      <w:pPr>
        <w:pStyle w:val="TextBody"/>
        <w:bidi w:val="0"/>
        <w:jc w:val="left"/>
        <w:rPr>
          <w:rFonts w:ascii="Times New Roman" w:hAnsi="Times New Roman"/>
          <w:color w:val="000000"/>
          <w:sz w:val="20"/>
        </w:rPr>
      </w:pPr>
      <w:r>
        <w:rPr>
          <w:rFonts w:ascii="Times New Roman" w:hAnsi="Times New Roman"/>
          <w:color w:val="000000"/>
          <w:sz w:val="20"/>
        </w:rPr>
        <w:t>Following regulatory approval of systemic pegcetacoplan by the European Medicines Agency(“EMA”) in December 2021, the Company became obligated to pay SFJ an initial payment of $5.0 million and then an additional $225.0 million in the aggregate in six additional annual payments with the majority of the payments being made from the third anniversary to the sixth anniversary of regulatory approval. The Company paid SFJ the initial payment of $5.0 million in January 2022 its first annual payment of $18.0 million in December 2022 and its second annual payment of $31.0 million in December 2023. The subsequent annual payments are due and payable in December of each year from 2024 through 2027.</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paid SFJ a total of $94.0 million as of December 31, 2023. </w:t>
      </w:r>
    </w:p>
    <w:p>
      <w:pPr>
        <w:pStyle w:val="TextBody"/>
        <w:bidi w:val="0"/>
        <w:jc w:val="left"/>
        <w:rPr>
          <w:rFonts w:ascii="Times New Roman" w:hAnsi="Times New Roman"/>
          <w:color w:val="000000"/>
          <w:sz w:val="20"/>
        </w:rPr>
      </w:pPr>
      <w:r>
        <w:rPr>
          <w:rFonts w:ascii="Times New Roman" w:hAnsi="Times New Roman"/>
          <w:color w:val="000000"/>
          <w:sz w:val="20"/>
        </w:rPr>
        <w:t>Additionally, the Company granted a security interest to SFJ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pStyle w:val="TextBody"/>
        <w:bidi w:val="0"/>
        <w:jc w:val="left"/>
        <w:rPr>
          <w:rFonts w:ascii="Times New Roman" w:hAnsi="Times New Roman"/>
          <w:sz w:val="20"/>
        </w:rPr>
      </w:pPr>
      <w:r>
        <w:rPr>
          <w:rFonts w:ascii="Times New Roman" w:hAnsi="Times New Roman"/>
          <w:color w:val="000000"/>
          <w:sz w:val="20"/>
        </w:rPr>
        <w:t xml:space="preserve">From December 15, 2021 to the final annual payment due in December 2027, the development liability will be accreted from its initial carrying amount to the total payment amount using the effective interest rate method under the ASC Topic 835, </w:t>
      </w:r>
      <w:r>
        <w:rPr>
          <w:rFonts w:ascii="Times New Roman" w:hAnsi="Times New Roman"/>
          <w:i/>
          <w:color w:val="000000"/>
          <w:sz w:val="20"/>
        </w:rPr>
        <w:t>Interest,</w:t>
      </w:r>
      <w:r>
        <w:rPr>
          <w:rFonts w:ascii="Times New Roman" w:hAnsi="Times New Roman"/>
          <w:color w:val="000000"/>
          <w:sz w:val="20"/>
        </w:rPr>
        <w:t xml:space="preserve"> over the remaining life of the SFJ agreement. The difference between the carrying amount and the total payment amount is presented as a discount to the development liability. The accretion is recorded as interest expense in the unaudited condensed consolidated statement of operations.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development liability (in thousands):</w:t>
      </w:r>
    </w:p>
    <w:p>
      <w:pPr>
        <w:pStyle w:val="TextBody"/>
        <w:bidi w:val="0"/>
        <w:jc w:val="both"/>
        <w:rPr/>
      </w:pPr>
      <w:r>
        <w:rPr/>
        <w:t> </w:t>
      </w:r>
    </w:p>
    <w:tbl>
      <w:tblPr>
        <w:tblW w:w="9446" w:type="dxa"/>
        <w:jc w:val="left"/>
        <w:tblInd w:w="0" w:type="dxa"/>
        <w:tblLayout w:type="fixed"/>
        <w:tblCellMar>
          <w:top w:w="28" w:type="dxa"/>
          <w:left w:w="28" w:type="dxa"/>
          <w:bottom w:w="28" w:type="dxa"/>
          <w:right w:w="28" w:type="dxa"/>
        </w:tblCellMar>
      </w:tblPr>
      <w:tblGrid>
        <w:gridCol w:w="5236"/>
        <w:gridCol w:w="146"/>
        <w:gridCol w:w="211"/>
        <w:gridCol w:w="781"/>
        <w:gridCol w:w="166"/>
        <w:gridCol w:w="146"/>
        <w:gridCol w:w="211"/>
        <w:gridCol w:w="781"/>
        <w:gridCol w:w="166"/>
        <w:gridCol w:w="146"/>
        <w:gridCol w:w="297"/>
        <w:gridCol w:w="858"/>
        <w:gridCol w:w="30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5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Effective</w:t>
              <w:br/>
              <w:t> Interest Rate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2" w:type="dxa"/>
            <w:gridSpan w:val="2"/>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Development liability</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82" w:type="dxa"/>
            <w:gridSpan w:val="2"/>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Unamortized discount to development liability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52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 of development liability, net of discount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r>
      <w:tr>
        <w:trPr/>
        <w:tc>
          <w:tcPr>
            <w:tcW w:w="5382" w:type="dxa"/>
            <w:gridSpan w:val="2"/>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long term development liability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and December 31, 2022 interest expense of $26.0 million and $26.9 million was recorded for the accretion of the development liability. For the period from December 15, 2021 through December 31, 2021, $1.2 million of interest expense was recorded for the accretion of the development liability.</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Future minimum SFJ payments as of December 31, 2023 is as follows (in thousands):</w:t>
      </w:r>
    </w:p>
    <w:p>
      <w:pPr>
        <w:pStyle w:val="TextBody"/>
        <w:bidi w:val="0"/>
        <w:jc w:val="left"/>
        <w:rPr/>
      </w:pPr>
      <w:r>
        <w:rPr/>
        <w:t> </w:t>
      </w:r>
    </w:p>
    <w:tbl>
      <w:tblPr>
        <w:tblW w:w="4352" w:type="dxa"/>
        <w:jc w:val="left"/>
        <w:tblInd w:w="0" w:type="dxa"/>
        <w:tblLayout w:type="fixed"/>
        <w:tblCellMar>
          <w:top w:w="28" w:type="dxa"/>
          <w:left w:w="28" w:type="dxa"/>
          <w:bottom w:w="28" w:type="dxa"/>
          <w:right w:w="28" w:type="dxa"/>
        </w:tblCellMar>
      </w:tblPr>
      <w:tblGrid>
        <w:gridCol w:w="2731"/>
        <w:gridCol w:w="146"/>
        <w:gridCol w:w="146"/>
        <w:gridCol w:w="211"/>
        <w:gridCol w:w="146"/>
        <w:gridCol w:w="78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98,750</w:t>
            </w:r>
          </w:p>
        </w:tc>
        <w:tc>
          <w:tcPr>
            <w:tcW w:w="19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103,000</w:t>
            </w:r>
          </w:p>
        </w:tc>
        <w:tc>
          <w:tcPr>
            <w:tcW w:w="1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9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payments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color w:val="000000"/>
          <w:sz w:val="20"/>
        </w:rPr>
        <w:t>7. 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consisted of the following as of December 31, 2023, and December 31, 2022 (in thousands):</w:t>
      </w:r>
    </w:p>
    <w:p>
      <w:pPr>
        <w:pStyle w:val="TextBody"/>
        <w:bidi w:val="0"/>
        <w:jc w:val="left"/>
        <w:rPr/>
      </w:pPr>
      <w:r>
        <w:rPr/>
        <w:t> </w:t>
      </w:r>
    </w:p>
    <w:tbl>
      <w:tblPr>
        <w:tblW w:w="5518" w:type="dxa"/>
        <w:jc w:val="left"/>
        <w:tblInd w:w="0" w:type="dxa"/>
        <w:tblLayout w:type="fixed"/>
        <w:tblCellMar>
          <w:top w:w="28" w:type="dxa"/>
          <w:left w:w="28" w:type="dxa"/>
          <w:bottom w:w="28" w:type="dxa"/>
          <w:right w:w="28" w:type="dxa"/>
        </w:tblCellMar>
      </w:tblPr>
      <w:tblGrid>
        <w:gridCol w:w="2956"/>
        <w:gridCol w:w="211"/>
        <w:gridCol w:w="781"/>
        <w:gridCol w:w="146"/>
        <w:gridCol w:w="146"/>
        <w:gridCol w:w="211"/>
        <w:gridCol w:w="676"/>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34,849</w:t>
            </w:r>
          </w:p>
        </w:tc>
        <w:tc>
          <w:tcPr>
            <w:tcW w:w="3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3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liabilities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43,212</w:t>
            </w:r>
          </w:p>
        </w:tc>
        <w:tc>
          <w:tcPr>
            <w:tcW w:w="3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reserves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3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Long-term Debt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September 16, 2019, the Company completed a private offering of the 2019 Convertible Notes with an aggregate principal amount of $220.0 million issued pursuant to an indenture (the “Indenture”) with U.S. Bank National Association, as trustee (the “Trustee”).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net proceeds from the sale of the 2019 Convertible Notes were approximately $212.9 million after deducting the initial purchasers’ discounts and commissions of $6.6 million and offering expenses of $0.5 million paid by the Company. The Company used $28.4 million of the net proceeds from the sale of the Convertible Notes to pay the cost of the capped call transactions described below.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12, 2020, the Company issued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to pay the cost of the additional capped call transactions in May 2020 described below.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Prior to March 15, 2026, the Convertible Notes are convertible only upon the occurrence of certain events:</w:t>
      </w:r>
    </w:p>
    <w:p>
      <w:pPr>
        <w:pStyle w:val="TextBody"/>
        <w:bidi w:val="0"/>
        <w:jc w:val="left"/>
        <w:rPr/>
      </w:pPr>
      <w:r>
        <w:rPr/>
        <w:t>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during the five-business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if the Company calls any or all of the Convertible Notes for redemption, at any time prior to the close of business on the second scheduled trading day immediately preceding the redemption date; or</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212529"/>
          <w:sz w:val="20"/>
        </w:rPr>
      </w:pPr>
      <w:r>
        <w:rPr>
          <w:rFonts w:ascii="Times New Roman" w:hAnsi="Times New Roman"/>
          <w:color w:val="212529"/>
          <w:sz w:val="20"/>
        </w:rPr>
        <w:t>upon the occurrence of corporate events specified in the Indenture.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Prior to September 20, 2023, the Company could not redeem the Convertible Notes. From and 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The Company has not called for redemption or redeemed any of the Convertible Notes as of December 31, 2023.</w:t>
      </w:r>
    </w:p>
    <w:p>
      <w:pPr>
        <w:pStyle w:val="TextBody"/>
        <w:bidi w:val="0"/>
        <w:spacing w:before="200" w:after="283"/>
        <w:jc w:val="left"/>
        <w:rPr>
          <w:rFonts w:ascii="Times New Roman" w:hAnsi="Times New Roman"/>
          <w:sz w:val="20"/>
        </w:rPr>
      </w:pPr>
      <w:r>
        <w:rPr>
          <w:rFonts w:ascii="Times New Roman" w:hAnsi="Times New Roman"/>
          <w:color w:val="212529"/>
          <w:sz w:val="20"/>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The Company used an effective interest rate of 10.5% to determine the liability component of the 2019 and 2020 Convertible Notes. This resulted in the recognition of $145.1 million and $204.5 million as the liability component of the 2019 and 2020 Convertible Notes, respectively, and the recognition of the residual amount of $74.9 million and $95.5 million as the debt discount with a corresponding increase to additional paid in capital for the equity component of the 2019 and 2020 Convertible Notes, respectively. The 2020 aggregate debt issuance costs of $6.0 million were allocated to the liability and equity components in the amounts of $3.7 million and $2.3 million, respectively. The 2019 Convertible Notes aggregate debt issuance costs of $7.1 million were allocated to the liability and equity components in the amounts of $4.7 million and $2.4 million, respectively.</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the Company. In accordance with ASC Topic 470-20, “Debt – Debt with Conversion and Other Options,” (“ASC 470-20”) the Company accounted for the exchange as an induced conversion based on the short period of time the conversion offer was open and the substantive conversion feature offer. The Company accounted for the conversion of the debt as an inducement by expensing the fair value of the shares that were issued in excess of the original terms of the Convertible Notes.</w:t>
      </w:r>
    </w:p>
    <w:p>
      <w:pPr>
        <w:pStyle w:val="TextBody"/>
        <w:bidi w:val="0"/>
        <w:jc w:val="left"/>
        <w:rPr>
          <w:rFonts w:ascii="Times New Roman" w:hAnsi="Times New Roman"/>
          <w:color w:val="212529"/>
          <w:sz w:val="20"/>
        </w:rPr>
      </w:pPr>
      <w:r>
        <w:rPr>
          <w:rFonts w:ascii="Times New Roman" w:hAnsi="Times New Roman"/>
          <w:color w:val="212529"/>
          <w:sz w:val="20"/>
        </w:rPr>
        <w:t>As a result of the January 2021 exchange transactions, the Company reduced net debt outstanding and increased net equity on the consolidated balance sheet by $122.8 million, consisting of the par value of the 2019 Convertible Notes exchanged of $126.1 million less the $3.3 million of remaining debt issuance costs associated with the exchanged notes. The Company also increased shares outstanding by 3,906,869 shares consisting of 3,196,172 shares issued at the initial conversion rate in the Indenture of 25.3405 plus an additional 710,697 shares. Additionally, the Company issued 69,491 shares as settlement of debt issuance costs paid to the Company’s financial advisor in connection with the exchange transaction. For the three months ended March 31, 2021, the Company recorded a loss on conversion of debt of $39.5 million comprised of $36.4 million related to the value of the shares issued in excess of the original conversion terms at the fair market value and $3.1 million for the value of the 69,491 shares issued in payment of issuance costs at their then fair value. Upon exchange of the 2019 Convertible Notes, the holders forfeited accrued interest through the date of the exchange of $1.7 million, which the Company charged to interest expense and to equity.</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As a result of the July 2021 exchange transactions, the Company reduced net debt outstanding and increased net equity on the consolidated balance sheet by $197.0 million, consisting of the par value of the Convertible Notes exchanged of $201.1 million less the $4.1 million of remaining debt issuance costs associated with the exchanged notes. The Company also increased shares outstanding by 5,992,217 shares consisting of 5,097,166 shares issued at the initial conversion rate in the Indenture of 25.3405 plus an additional 895,051 shares. Additionally, the Company issued 78,419 shares as settlement of issuance costs paid to the Company’s financial advisor in connection with the exchange transaction. For the three months ended September 30, 2021, the Company recorded a loss on conversion of debt of $61.1 million comprised of $55.9 million related to the value of the shares issued in excess of the original conversion terms at the fair market value and $5.2 million for the value of the 78,419 shares issued in payment of issuance costs at their then fair value. Upon exchange of the Convertible Notes, the holders forfeited accrued interest through the date of the exchange of $2.5 million, which the Company charged to interest expense and to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the July 2022 exchange transactions, the Company reduced net debt outstanding and increased net equity on the consolidated balance sheet by $96.8 million, consisting of the par value of the Convertible Notes exchanged of $98.1 million less the $1.3 million of remaining debt issuance costs associated with the exchanged notes. The Company also increased shares outstanding by 3,027,018 shares consisting of 2,485,548 shares issued at the initial conversion rate in the Indenture of 25.3405 plus an additional 541,470 shares. Additionally, the Company issued 46,132 shares as settlement of issuance costs paid to the Company’s financial advisor in connection with the exchange transaction. The Company recorded a loss on conversion of debt of $32.9 million comprised of $30.4 million related to the value of the shares issued in excess of the original conversion terms at the fair market value and $2.5 million for the value of the 46,132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conditional conversion feature of the Convertible Notes was triggered as of June 30, 2021, and as a result the Convertible Notes were convertible at the option of the holders until September 30, 2021. During this period, certain holders of the Convertible Notes converted approximately $0.7 million of aggregate principal amount of Convertible Notes into an aggregate of 18,775 shares, which were issued in October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conditional conversion feature of the Convertible Notes was again triggered as of September 30, 2022, and as a result the Convertible Notes became convertible at the option of the holders until December 31, 2022. No Convertible Notes were converted during this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conditional conversion feature of the Convertible Notes was triggered as of December 31, 2023, and as a result the Convertible Notes are convertible at the option of the holders until March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and 2022, the Company held in treasury Convertible Notes in principal amount of $425.4 million which have not been cancelled.</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The outstanding balance of the Convertible Notes as of December 31, 2023 and 2022 consisted of the following (in thousands):</w:t>
      </w:r>
    </w:p>
    <w:tbl>
      <w:tblPr>
        <w:tblW w:w="6064" w:type="dxa"/>
        <w:jc w:val="left"/>
        <w:tblInd w:w="0" w:type="dxa"/>
        <w:tblLayout w:type="fixed"/>
        <w:tblCellMar>
          <w:top w:w="28" w:type="dxa"/>
          <w:left w:w="28" w:type="dxa"/>
          <w:bottom w:w="28" w:type="dxa"/>
          <w:right w:w="28" w:type="dxa"/>
        </w:tblCellMar>
      </w:tblPr>
      <w:tblGrid>
        <w:gridCol w:w="3671"/>
        <w:gridCol w:w="146"/>
        <w:gridCol w:w="146"/>
        <w:gridCol w:w="676"/>
        <w:gridCol w:w="166"/>
        <w:gridCol w:w="146"/>
        <w:gridCol w:w="146"/>
        <w:gridCol w:w="676"/>
        <w:gridCol w:w="29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6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debt discount and issuance costs, 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12529"/>
          <w:sz w:val="20"/>
        </w:rPr>
      </w:pPr>
      <w:r>
        <w:rPr>
          <w:rFonts w:ascii="Times New Roman" w:hAnsi="Times New Roman"/>
          <w:color w:val="212529"/>
          <w:sz w:val="20"/>
        </w:rPr>
        <w:t>The following table sets forth total interest expense recognized related to the Convertible Notes during the twelve months ended December 31, 2023, 2022 and 2021 (in thousands):</w:t>
      </w:r>
    </w:p>
    <w:p>
      <w:pPr>
        <w:pStyle w:val="TextBody"/>
        <w:bidi w:val="0"/>
        <w:jc w:val="left"/>
        <w:rPr/>
      </w:pPr>
      <w:r>
        <w:rPr/>
        <w:t> </w:t>
      </w:r>
    </w:p>
    <w:tbl>
      <w:tblPr>
        <w:tblW w:w="6573" w:type="dxa"/>
        <w:jc w:val="left"/>
        <w:tblInd w:w="0" w:type="dxa"/>
        <w:tblLayout w:type="fixed"/>
        <w:tblCellMar>
          <w:top w:w="28" w:type="dxa"/>
          <w:left w:w="28" w:type="dxa"/>
          <w:bottom w:w="28" w:type="dxa"/>
          <w:right w:w="28" w:type="dxa"/>
        </w:tblCellMar>
      </w:tblPr>
      <w:tblGrid>
        <w:gridCol w:w="3001"/>
        <w:gridCol w:w="146"/>
        <w:gridCol w:w="211"/>
        <w:gridCol w:w="571"/>
        <w:gridCol w:w="146"/>
        <w:gridCol w:w="146"/>
        <w:gridCol w:w="211"/>
        <w:gridCol w:w="571"/>
        <w:gridCol w:w="246"/>
        <w:gridCol w:w="246"/>
        <w:gridCol w:w="211"/>
        <w:gridCol w:w="67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pPr>
            <w:r>
              <w:rPr/>
              <w:t> </w:t>
            </w:r>
          </w:p>
        </w:tc>
        <w:tc>
          <w:tcPr>
            <w:tcW w:w="3381" w:type="dxa"/>
            <w:gridSpan w:val="1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shd w:fill="FFFFFF" w:val="clear"/>
            <w:vAlign w:val="center"/>
          </w:tcPr>
          <w:p>
            <w:pPr>
              <w:pStyle w:val="TableContents"/>
              <w:bidi w:val="0"/>
              <w:spacing w:before="0" w:after="283"/>
              <w:jc w:val="center"/>
              <w:rPr/>
            </w:pPr>
            <w:r>
              <w:rPr/>
              <w:t> </w:t>
            </w:r>
          </w:p>
        </w:tc>
      </w:tr>
      <w:tr>
        <w:trPr/>
        <w:tc>
          <w:tcPr>
            <w:tcW w:w="3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9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12529"/>
          <w:sz w:val="20"/>
        </w:rPr>
      </w:pPr>
      <w:r>
        <w:rPr>
          <w:rFonts w:ascii="Times New Roman" w:hAnsi="Times New Roman"/>
          <w:color w:val="212529"/>
          <w:sz w:val="20"/>
        </w:rPr>
        <w:t>Future minimum payments on Convertible Notes payable as of December 31, 2023 is as follows (in thousands):</w:t>
      </w:r>
    </w:p>
    <w:p>
      <w:pPr>
        <w:pStyle w:val="TextBody"/>
        <w:bidi w:val="0"/>
        <w:jc w:val="center"/>
        <w:rPr/>
      </w:pPr>
      <w:r>
        <w:rPr/>
        <w:t> </w:t>
      </w:r>
    </w:p>
    <w:tbl>
      <w:tblPr>
        <w:tblW w:w="5212" w:type="dxa"/>
        <w:jc w:val="left"/>
        <w:tblInd w:w="0" w:type="dxa"/>
        <w:tblLayout w:type="fixed"/>
        <w:tblCellMar>
          <w:top w:w="28" w:type="dxa"/>
          <w:left w:w="28" w:type="dxa"/>
          <w:bottom w:w="28" w:type="dxa"/>
          <w:right w:w="28" w:type="dxa"/>
        </w:tblCellMar>
      </w:tblPr>
      <w:tblGrid>
        <w:gridCol w:w="3571"/>
        <w:gridCol w:w="146"/>
        <w:gridCol w:w="146"/>
        <w:gridCol w:w="211"/>
        <w:gridCol w:w="146"/>
        <w:gridCol w:w="781"/>
        <w:gridCol w:w="2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211" w:type="dxa"/>
            <w:tcBorders/>
            <w:shd w:fill="CFF0FC"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21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payments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102,797</w:t>
            </w:r>
          </w:p>
        </w:tc>
        <w:tc>
          <w:tcPr>
            <w:tcW w:w="21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discount and issuance costs,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Convertible senior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Capped Call Transactions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On September 11, 2019, and May 6, 2020 concurrently with the pricing of the 2019 Convertible Notes and the 2020 Convertible Notes,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12529"/>
          <w:sz w:val="20"/>
        </w:rPr>
        <w:t xml:space="preserve">Pursuant to ASC 815-40 </w:t>
      </w:r>
      <w:r>
        <w:rPr>
          <w:rFonts w:ascii="Times New Roman" w:hAnsi="Times New Roman"/>
          <w:i/>
          <w:color w:val="212529"/>
          <w:sz w:val="20"/>
        </w:rPr>
        <w:t>Derivatives and Hedging</w:t>
      </w:r>
      <w:r>
        <w:rPr>
          <w:rFonts w:ascii="Times New Roman" w:hAnsi="Times New Roman"/>
          <w:color w:val="212529"/>
          <w:sz w:val="20"/>
        </w:rPr>
        <w:t>, the Company determined that the capped call transactions should be classified as equity instruments and the capped call premium paid in the amount of $28.4 million and $43.1 million were recorded as reductions to additional paid-in capital at December 31, 2021 for the 2019 and 2020 Convertible Notes,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underlying assets of the Company’s leases primarily relate to office space leases, but also include some equipment leases. The Company determines if an arrangement qualifies as a lease at its inception.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practical expedient permitted under Topic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 amounts or variable amounts that depend on a rate or index as stipulated in the lease contract. 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enters into lease agreements with terms generally ranging from 2-7 years. Some of the Company’s lease agreements include Company options to extend the lease on a month-to-month basis or for set periods for up to five years. Many leases also include options to terminate the leases within one year or per other contractual terms. Renewal and termination options were generally not included in the lease term for the Company’s existing operating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2023 and 2022, all leases were classified as operating lease assets and liabilities. Additional information related to the operating lease assets and liabilities is as follows (in thousands):</w:t>
      </w:r>
    </w:p>
    <w:p>
      <w:pPr>
        <w:pStyle w:val="TextBody"/>
        <w:bidi w:val="0"/>
        <w:jc w:val="left"/>
        <w:rPr/>
      </w:pPr>
      <w:r>
        <w:rPr/>
        <w:t> </w:t>
      </w:r>
    </w:p>
    <w:tbl>
      <w:tblPr>
        <w:tblW w:w="7090" w:type="dxa"/>
        <w:jc w:val="left"/>
        <w:tblInd w:w="0" w:type="dxa"/>
        <w:tblLayout w:type="fixed"/>
        <w:tblCellMar>
          <w:top w:w="28" w:type="dxa"/>
          <w:left w:w="28" w:type="dxa"/>
          <w:bottom w:w="28" w:type="dxa"/>
          <w:right w:w="28" w:type="dxa"/>
        </w:tblCellMar>
      </w:tblPr>
      <w:tblGrid>
        <w:gridCol w:w="4021"/>
        <w:gridCol w:w="146"/>
        <w:gridCol w:w="260"/>
        <w:gridCol w:w="835"/>
        <w:gridCol w:w="271"/>
        <w:gridCol w:w="146"/>
        <w:gridCol w:w="260"/>
        <w:gridCol w:w="835"/>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w:t>
            </w:r>
          </w:p>
        </w:tc>
        <w:tc>
          <w:tcPr>
            <w:tcW w:w="316"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19,977</w:t>
            </w:r>
          </w:p>
        </w:tc>
        <w:tc>
          <w:tcPr>
            <w:tcW w:w="316"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term in years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16"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used to measure</w:t>
              <w:br/>
              <w:t>    outstanding lease liabilities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years ended December 31, 2023, 2022, and 2021, the total lease cost for operating lease expense was approximately $7.0 million, $6.2 million, and $5.6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cash flow information related to operating leases for the years ended December 31, 2023, 2022 and 2021 is as follows (in thousands):</w:t>
      </w:r>
    </w:p>
    <w:p>
      <w:pPr>
        <w:pStyle w:val="TextBody"/>
        <w:bidi w:val="0"/>
        <w:jc w:val="left"/>
        <w:rPr/>
      </w:pPr>
      <w:r>
        <w:rPr/>
        <w:t> </w:t>
      </w:r>
    </w:p>
    <w:tbl>
      <w:tblPr>
        <w:tblW w:w="8653" w:type="dxa"/>
        <w:jc w:val="left"/>
        <w:tblInd w:w="0" w:type="dxa"/>
        <w:tblLayout w:type="fixed"/>
        <w:tblCellMar>
          <w:top w:w="28" w:type="dxa"/>
          <w:left w:w="28" w:type="dxa"/>
          <w:bottom w:w="28" w:type="dxa"/>
          <w:right w:w="28" w:type="dxa"/>
        </w:tblCellMar>
      </w:tblPr>
      <w:tblGrid>
        <w:gridCol w:w="5386"/>
        <w:gridCol w:w="146"/>
        <w:gridCol w:w="211"/>
        <w:gridCol w:w="571"/>
        <w:gridCol w:w="146"/>
        <w:gridCol w:w="146"/>
        <w:gridCol w:w="211"/>
        <w:gridCol w:w="571"/>
        <w:gridCol w:w="146"/>
        <w:gridCol w:w="146"/>
        <w:gridCol w:w="211"/>
        <w:gridCol w:w="571"/>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91" w:type="dxa"/>
            <w:tcBorders/>
            <w:shd w:fill="CFF0FC"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The maturity of the Company’s operating lease liabilities as of December 31, 2023 are as follows (in thousands):</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3181"/>
        <w:gridCol w:w="146"/>
        <w:gridCol w:w="146"/>
        <w:gridCol w:w="211"/>
        <w:gridCol w:w="146"/>
        <w:gridCol w:w="676"/>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w:t>
            </w:r>
          </w:p>
        </w:tc>
        <w:tc>
          <w:tcPr>
            <w:tcW w:w="21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21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21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19,789</w:t>
            </w:r>
          </w:p>
        </w:tc>
        <w:tc>
          <w:tcPr>
            <w:tcW w:w="21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Other Comprehensive Income and Accumulated Other Comprehensive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changes in accumulated other comprehensive income/(loss), by component for the years ended December 31, 2023 and 2022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3"/>
        <w:gridCol w:w="146"/>
        <w:gridCol w:w="665"/>
        <w:gridCol w:w="1093"/>
        <w:gridCol w:w="166"/>
        <w:gridCol w:w="146"/>
        <w:gridCol w:w="386"/>
        <w:gridCol w:w="1156"/>
        <w:gridCol w:w="166"/>
        <w:gridCol w:w="146"/>
        <w:gridCol w:w="386"/>
        <w:gridCol w:w="1156"/>
        <w:gridCol w:w="166"/>
        <w:gridCol w:w="146"/>
        <w:gridCol w:w="501"/>
        <w:gridCol w:w="1503"/>
        <w:gridCol w:w="314"/>
      </w:tblGrid>
      <w:tr>
        <w:trPr/>
        <w:tc>
          <w:tcPr>
            <w:tcW w:w="1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 (Losses) from Marketable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 (Losses) from Pension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Accumulated Other Comprehensive Income (Loss)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December 31, 2022</w:t>
            </w:r>
          </w:p>
        </w:tc>
        <w:tc>
          <w:tcPr>
            <w:tcW w:w="146" w:type="dxa"/>
            <w:tcBorders/>
            <w:shd w:fill="CFF0FC" w:val="clear"/>
            <w:vAlign w:val="center"/>
          </w:tcPr>
          <w:p>
            <w:pPr>
              <w:pStyle w:val="TableContents"/>
              <w:bidi w:val="0"/>
              <w:spacing w:before="0" w:after="283"/>
              <w:jc w:val="center"/>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31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6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other comprehensive income (loss)</w:t>
            </w:r>
          </w:p>
        </w:tc>
        <w:tc>
          <w:tcPr>
            <w:tcW w:w="146" w:type="dxa"/>
            <w:tcBorders/>
            <w:shd w:fill="FFFFFF" w:val="clear"/>
            <w:vAlign w:val="center"/>
          </w:tcPr>
          <w:p>
            <w:pPr>
              <w:pStyle w:val="TableContents"/>
              <w:bidi w:val="0"/>
              <w:spacing w:before="0" w:after="283"/>
              <w:jc w:val="center"/>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December 31, 2023</w:t>
            </w:r>
          </w:p>
        </w:tc>
        <w:tc>
          <w:tcPr>
            <w:tcW w:w="146" w:type="dxa"/>
            <w:tcBorders/>
            <w:shd w:fill="CFF0FC" w:val="clear"/>
            <w:vAlign w:val="center"/>
          </w:tcPr>
          <w:p>
            <w:pPr>
              <w:pStyle w:val="TableContents"/>
              <w:bidi w:val="0"/>
              <w:spacing w:before="0" w:after="283"/>
              <w:jc w:val="center"/>
              <w:rPr/>
            </w:pPr>
            <w:r>
              <w:rPr/>
              <w:t> </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5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04" w:type="dxa"/>
            <w:gridSpan w:val="2"/>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r>
      <w:tr>
        <w:trPr/>
        <w:tc>
          <w:tcPr>
            <w:tcW w:w="1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5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04" w:type="dxa"/>
            <w:gridSpan w:val="2"/>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r>
      <w:tr>
        <w:trPr/>
        <w:tc>
          <w:tcPr>
            <w:tcW w:w="1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 (Losses) from Marketable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 (Losses) from Pension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Accumulated Other Comprehensive Income (Loss)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December 31, 2021</w:t>
            </w:r>
          </w:p>
        </w:tc>
        <w:tc>
          <w:tcPr>
            <w:tcW w:w="146"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31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6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other comprehensive income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December 31, 2022</w:t>
            </w:r>
          </w:p>
        </w:tc>
        <w:tc>
          <w:tcPr>
            <w:tcW w:w="146" w:type="dxa"/>
            <w:tcBorders/>
            <w:shd w:fill="FFFFFF" w:val="clear"/>
            <w:vAlign w:val="center"/>
          </w:tcPr>
          <w:p>
            <w:pPr>
              <w:pStyle w:val="TableContents"/>
              <w:bidi w:val="0"/>
              <w:spacing w:before="0" w:after="283"/>
              <w:jc w:val="center"/>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quoted prices included within level 1 that are observable for the asset or liability, either directly or indirectly;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that reflect the Company’s own assumptions about the assumptions market participants would use in pricing the asset or liability.</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fair value of financial instruments recorded originally at amortized cost or fair value and not re-measured on a recurring basis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tbl>
      <w:tblPr>
        <w:tblW w:w="8803" w:type="dxa"/>
        <w:jc w:val="left"/>
        <w:tblInd w:w="0" w:type="dxa"/>
        <w:tblLayout w:type="fixed"/>
        <w:tblCellMar>
          <w:top w:w="28" w:type="dxa"/>
          <w:left w:w="28" w:type="dxa"/>
          <w:bottom w:w="28" w:type="dxa"/>
          <w:right w:w="28" w:type="dxa"/>
        </w:tblCellMar>
      </w:tblPr>
      <w:tblGrid>
        <w:gridCol w:w="2506"/>
        <w:gridCol w:w="1886"/>
        <w:gridCol w:w="211"/>
        <w:gridCol w:w="781"/>
        <w:gridCol w:w="146"/>
        <w:gridCol w:w="146"/>
        <w:gridCol w:w="239"/>
        <w:gridCol w:w="391"/>
        <w:gridCol w:w="146"/>
        <w:gridCol w:w="146"/>
        <w:gridCol w:w="239"/>
        <w:gridCol w:w="391"/>
        <w:gridCol w:w="146"/>
        <w:gridCol w:w="146"/>
        <w:gridCol w:w="211"/>
        <w:gridCol w:w="781"/>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pPr>
            <w:r>
              <w:rPr/>
              <w:t> </w:t>
            </w:r>
          </w:p>
        </w:tc>
        <w:tc>
          <w:tcPr>
            <w:tcW w:w="1886" w:type="dxa"/>
            <w:tcBorders/>
            <w:shd w:fill="FFFFFF" w:val="cle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Sheet Classification:</w:t>
            </w:r>
          </w:p>
        </w:tc>
        <w:tc>
          <w:tcPr>
            <w:tcW w:w="1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Type of Instrument</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88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8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276,391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88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276,391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88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886" w:type="dxa"/>
            <w:tcBorders/>
            <w:shd w:fill="FFFFFF" w:val="cle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Sheet Classification:</w:t>
            </w:r>
          </w:p>
        </w:tc>
        <w:tc>
          <w:tcPr>
            <w:tcW w:w="1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Type of Instrument</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88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8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527,728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88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The Company's Convertible Notes and development liability are financial instruments that are reported in the consolidated financial statements at historical cost. The Convertible Notes are Level 1 within the fair value level hierarchy as of December 31, 2023 and December 31, 2022. The fair value of the Convertible Notes was $140.8 million as of December 31, 2023 and $143.9 million as of December 31, 2022. The Convertible Notes accrue a semi-annual coupon at an annual rate of 3.5%, which was included in accrued expenses in the consolidated balance sheets as of December 31, 2023 and December 31, 2022.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development liability was $306.9 million and $315.8 million as of December 31, 2023 and December 31, 2022, respectively. The development liability is Level 2 within the fair value hierarchy based on the discounting of fixed cash flows using an observed bond yield for borrowers with similar credit rating.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License and Collaboration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Sobi License and Collaboration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2020, the Company and its subsidiaries Apellis International GmbH (f/k/a Apellis Switzerland GmbH) and APL DEL Holdings, LLC entered into a Collaboration and License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Sobi collaboration agreement, the Company granted Sobi an exclusive (subject to certain retained rights of the Company), sublicensable license of certain patent rights and know-how to develop and commercialize Licensed Products in all countries outside of the United States.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retains the right to commercialize Licensed Products in the United States, and, subject to specified limitations, to develop Licensed Products worldwide for commercialization in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Sobi collaboration agreement, the Company and Sobi have agreed to collaborate to develop Licensed Products for the treatment of PNH, CAD, HSCT-TMA, C3G, IC-MPGN and ALS, or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have formed several governance committees to oversee the development and manufacture, and to review and discuss the commercialization, of Licensed Products. The Company and SOBI have discontinued to development programs in ALS and CAD.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shall supply Licensed Products to Sobi for development and for commercialization outside of the United States in accordance with a supply agreement to be negotiated by the parties. The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Sobi paid the Company an upfront payment of $250.0 million in November 2020 and has agreed to pay up to an aggregate of $915.0 million upon the achievement of specified one-time regulatory and commercial milestone events, of which the Company received $50.0 million in April 2022 for the achievement of a regulatory development milestone in Europe and $5.0 million in October 2023 for the achievement of a regulatory development milestone in Japan. Sobi also agreed to reimburse the Company for up to $80.0 million in development costs, of which the Company received $25.0 million in January 2021, $20.0 million in January 2022 and $20.0 million in January 2023. In January 2024, the Company waived the remaining reimbursement payment of $15.0 million in connection with the to discontinue the CAD program. The Company is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The Company received $10.0 million in royalties from Sobi during 2023. Under the Sobi collaboration agreement, the Company remains responsible for its license fee obligations (including royalty obligations) to the Trustees of the University of Pennsylvania (“Penn”), as a licensor of the Company and for its payment obligations to SFJ.</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Sobi Accounting Analysis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determined that the agreement is within the scope of ASC 808 as a contractual arrangement that involves a joint operating activity whereby both parties are (i) active participants in the activity and (ii) exposed to certain significant risks and rewards dependent on the commercial success of the activity. ASC Topic 808 does not address measurement or recognition matters but allows for analogizing to ASC 606. Pursuant to ASC 606, the Company performed the following five steps: (i) identified the contract(s) with a customer; (ii) identified the performance obligations in the contract; (iii) determined the transaction price; (iv) allocated the transaction price to the performance obligations in the contract; and (v) recognized revenue when (or as) the entity satisfies a performance obligation.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identified the following material distinct promises under the Sobi Agreement: (1) licenses to develop and commercialize pegcetacoplan or, Licenses to IP, and (2) performance of research and development services. The Company determined the promises to be distinct because Sobi can benefit from each of the license and the development services on their own or with readily available services. The Company could have provided the license without any development services and Sobi would have been able to benefit from it by obtaining development services from another provider as the Licensed Products are at a more mature stage in their life cycle.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agreement, Sobi agreed to pay the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fixed amount of $250.0 million in an upfront payment in November 2020;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fixed amount of an additional $80.0 million in development reimbursements, payable yearly in four tranches in amounts determined based upon actual expenses incurred by the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 to an aggregate of $915.0 million upon the achievement of specified one-time regulatory and commercial milestone events;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iv)</w:t>
      </w:r>
    </w:p>
    <w:p>
      <w:pPr>
        <w:pStyle w:val="TextBody"/>
        <w:bidi w:val="0"/>
        <w:jc w:val="left"/>
        <w:rPr>
          <w:rFonts w:ascii="Times New Roman" w:hAnsi="Times New Roman"/>
          <w:color w:val="000000"/>
          <w:sz w:val="20"/>
        </w:rPr>
      </w:pPr>
      <w:r>
        <w:rPr>
          <w:rFonts w:ascii="Times New Roman" w:hAnsi="Times New Roman"/>
          <w:color w:val="000000"/>
          <w:sz w:val="20"/>
        </w:rPr>
        <w:t>tiered, double-digit royalties, ranging from high teens to high twenties, on sales of Licensed Products outside of the United States, subject to customary deductions and third-party payment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contract inception, the $250.0 million non-refundable payment and the $80.0 million reimbursements were fixed proceeds. The Company evaluated whether Sobi is a customer for either of the distinct promises in the agreement. Under the Licenses to IP, the Company determined that Sobi is a customer as the know-how provided and the right granted by the Company to Sobi are outputs of the Company’s business activities for which the Company will receive consideration. With respect to research and development activity, management determined that there is no vendor relationship as performing research and development activities for others is not a part of the Company’s ongoing central operations. Based upon the evaluation of the relative fair values, the Company allocated the purchase price of $250.0 million and the related milestones and royalties to the license of IP and $80.0 million to performance of research and development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milestone and royalty payments are subject to activities outside the control of the Company. Per ASC 606, the Company considers this to be a customer/ vendor relationship, therefore, the Company will include the regulatory milestone payments in the total transaction price when it is probable that a significant reversal of revenue would not occur in a future period. The Company will recognize commercial milestone and royalty revenue at the later of (i) when the related sales occur or (ii) when the performance obligation to which the commercial milestone or royalty has been allocated has been satisfied. In case of commercial milestone or royalty payments, the Company will recognize revenue in the same period that the sales are completed for which the Company is contractually entitled to the milestone or percentage-based royalty payment. Management will periodically assess the elements of the contract and re-evaluate revenue recognition as necessary.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ASC 606, during the year ended December 31, 2020, the Company has recognized the $250.0 million in revenue as this is the amount allocated to the license. The $80.0 million reimbursement for research and development activities does not constitute a customer/vendor relationship and thus is not in the scope of ASC 606. As ASC 808 does not include recognition guidance, the Company has established an accounting policy to recognize the payments under the reimbursement as a receivable on the balance sheet in an amount that is to be reimbursed based upon expense incurred by the Company, with a contra- research and development expense recognized in the statement of operations, over time as the expenses are incurred.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Sobi collaboration agreement, for the year ended December 31, 2023, the Company recognized $10.0 million of royalty revenue. For the year ended December 31, 2022, the Company recognized $3.0 million of royalty revenue. For the year ended December 31, 2023, the Company did not recognize any contra-research and development expense in the consolidated statement of operations related to the $80.0 million reimbursement commitment from Sobi. For the year ended December 31, 2022, the Company recognized $5.0 million for contra-research and development expense in the consolidated statement of operations related to the $80.0 million reimbursement commitment from Sobi.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2023, the Company recorded $15.0 million in current assets, which represents the receivable for contra-research and development expenses incurred but not yet reimbursed from Sobi. The total receivable balance as of December 31, 2023 was for contra-research and development expenses incurred but not yet reimbursed from Sobi. In January 2024, the Company waived the remaining reimbursement payment of $15.0 million in connection with the decision to discontinue the CAD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2022, the Company recorded a receivable of $35.0 million, with $20.0 million in other current assets and $15.0 million in other assets on the consolidated balance sheet. The total receivable balance as of December 31, 2022 is for contra-research and development expenses incurred but not yet reimbursed from Sobi. The Company received the $20.0 million recorded in other current assets in January 2023.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University of Pennsylvania License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 party to a license agreement with the Trustees of the University of Pennsylvania (“Penn”) for an exclusive, worldwide license to specified patent rights. The Company is required to pay annual maintenance fees of $0.1 million until the first sale of a licensed product. The Company is also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April 2023, the Company paid $2.3 million for the achievement of a regulatory milestone as a result of the FDA approval of SYFOVRE in February 2023. In 2023 the Company incurred $5.0 million as a result of the achievement of sales milestones for SYFOVRE of which $2.0 million the Company paid in October 2023 and remaining of $3.0 million is accrued for as of December 31, 2023.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Company has incurred an aggregate royalty expense of $8.9 million on sales of SYFOVRE.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Company is also party to a license agreement with Penn for an exclusive, worldwide license to specified patent rights for the development and commercialization of products in fields of use, as defined therein. The Company is required to pay annual maintenance fees of $0.1 million until the first sale of a licensed product.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minimum quarterly royalty thresholds. In addition, the Company is obligated to pay a specified portion of income it receives from sublicensees.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2021, the Company paid $25.0 million for sublicense fee owed to Penn related to the Sobi Agreement and another licensing transaction. In August 2021, the Company paid $1.0 million to Penn upon the achievement of a development milestone, net of a credit for the annual license maintenance payment. In June 2022, the Company paid an additional $5.0 million to Penn upon the achievement of a development milestone. In January 2023, the Company paid $1.0 million to Penn upon the achievement of a sales milestone for EMPAVELI in 2022. As December 31, 2023, the Company recorded in accrued expenses $0.5 million for a sublicense fee owed to Penn related to Sobi obtaining regulatory approval in Japan. Additionally, as of December 31, 2023, the Company recorded in accrued expenses $1.5 million as a result of the achievement of a sales milestone for EMPAVELI and Aspaveli.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2023, the Company has incurred an aggregate royalty expense of $7.9 million on sales of EMPAVELI and Aspaveli.</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Beam Research Collaboration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2021, the Company entered into an exclusive five-year research collaboration with Beam Therapeutics, Inc. (“Beam”) focused on the use of Beam’s proprietary base editing technology to discover new treatments for complement-driven diseases. The Company and Beam agreed to collaborate on up to six research programs focused on C3 and other complement targets in the eye, liver and brain. Under the terms of the collaboration agreement, Apellis is 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collaboration agreement, Beam is prohibited from developing on its own or with a third party any base editing therapies associated with the items on the Target List but does not prevent Beam from licensing its intellectual property to a third-party for another purpose outside of the Target List. The Company will have exclusive rights to license each of the six programs and will assume responsibility for subsequent development and commercialization. Beam may elect to enter a 50-50 co-development and U.S. co-commercialization agreement with the Company with respect to any one program licensed under the collaboration and upon such election any license agreement in place at that time, would be terminated.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the Beam collaboration agreement, the Company agreed to pay a $50.0 million up-front, non-refundable payment to Beam, which the Company paid in July 2021. In June 2022, the Company paid $25.0 million, which was recorded as a cost of research collaboration expense for the year ended December 31, 2021, as it was considered probable of achievement. The Company and Beam are each responsible for their own costs during the research collaboration. If and after the opt-in license rights are exercised for each of the up to six programs, Beam will be eligible to receive development, regulatory and sales milestones from the Company, as well as royalty payments on sales. The Beam collaboration agreement has an initial term of five years and may be extended up to two years on a per year program-by-program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analyzed the research collaboration agreement pursuant to ASC 808 to assess whether the agreement involved joint operating activities performed by parties that are both active participants in the activities and exposed to significant risks and rewards dependent on the commercial success of such activities. Since each party is actively participating in this activity and exposed to significant risks and rewards related to the activity through each party’s costs will be accounted for under ASC 808.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ASC 808 does not provide recognition guidance, the Company referred to the guidance under ASC 730 to arrangements involving payments by the Company. ASC 730 requires the Company to recognize research and developments costs as expense as incurred since the payment was made for the use of Beam’s intellectual property and research and development services and there is no alternative use.</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Employee Retirement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2010, the Company adopted an employee profit-sharing plan (the “401(k) Plan”), qualified under Section 401(k) of the Internal Revenue Code (the “IRC”). All of the Company’s full-time employees who have attained the age of 21 are eligible to participate in the 401(k) Plan immediately upon employment. Pursuant to the 401(k) Plan, employees may elect to reduce their current compensation by up to the statutorily prescribed annual limit and have the amount of the reduction contributed to the 401(k) Plan. In 2023, 2022 and 2021, the Company recorded $5.7 million, $4.3 million, and $3.1 million respectively, for employer contributions made to the 401(k)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maintains a pension plan covering employees of its Swiss subsidiary, Apellis International GmbH (f/k/a Apellis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a December 31, 2023, the Swiss Plan had a funded status of $2.2 million, which resulted from fair value of plan assets of $16.2 million and projected benefit obligation of $18.4 million. The accumulated benefit obligation at December 31, 2023 was $2.6 million. The Company’s net periodic benefit cost for the year ended December 31, 2023 was $0.9 million. The contributions to the Swiss Plan for the year ended December 31, 2023 were not material.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a December 31, 2022, the Swiss Plan had a funded status of $18.0 thousand, which resulted from fair value of plan assets of $12.9 million and projected benefit obligation of $12.9 million. The accumulated benefit obligation at December 31, 2022 was $1.6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million. The Company’s net periodic benefit cost for the year ended December 31, 2022 was $0.6 million. The contributions to the Swiss Plan for the year ended December 31, 2022 were not material. </w:t>
      </w:r>
    </w:p>
    <w:p>
      <w:pPr>
        <w:pStyle w:val="TextBody"/>
        <w:bidi w:val="0"/>
        <w:spacing w:before="360" w:after="283"/>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loss from continuing operations before provision for income taxes are as follows (in thousands):</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1201"/>
        <w:gridCol w:w="211"/>
        <w:gridCol w:w="841"/>
        <w:gridCol w:w="166"/>
        <w:gridCol w:w="146"/>
        <w:gridCol w:w="211"/>
        <w:gridCol w:w="841"/>
        <w:gridCol w:w="166"/>
        <w:gridCol w:w="146"/>
        <w:gridCol w:w="211"/>
        <w:gridCol w:w="841"/>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(314,673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 for income taxes for the years ended December 31, 2023, 2022, and 2021 are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3"/>
        <w:gridCol w:w="596"/>
        <w:gridCol w:w="1622"/>
        <w:gridCol w:w="146"/>
        <w:gridCol w:w="146"/>
        <w:gridCol w:w="738"/>
        <w:gridCol w:w="1480"/>
        <w:gridCol w:w="146"/>
        <w:gridCol w:w="146"/>
        <w:gridCol w:w="738"/>
        <w:gridCol w:w="1480"/>
        <w:gridCol w:w="294"/>
      </w:tblGrid>
      <w:tr>
        <w:trPr/>
        <w:tc>
          <w:tcPr>
            <w:tcW w:w="267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673" w:type="dxa"/>
            <w:tcBorders/>
            <w:shd w:fill="FFFFFF" w:val="clear"/>
            <w:vAlign w:val="center"/>
          </w:tcPr>
          <w:p>
            <w:pPr>
              <w:pStyle w:val="TableContents"/>
              <w:bidi w:val="0"/>
              <w:spacing w:before="0" w:after="283"/>
              <w:jc w:val="center"/>
              <w:rPr/>
            </w:pPr>
            <w:r>
              <w:rPr/>
              <w:t> </w:t>
            </w:r>
          </w:p>
        </w:tc>
        <w:tc>
          <w:tcPr>
            <w:tcW w:w="2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2021</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w:t>
            </w:r>
          </w:p>
        </w:tc>
        <w:tc>
          <w:tcPr>
            <w:tcW w:w="221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2"/>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267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Federal</w:t>
            </w:r>
          </w:p>
        </w:tc>
        <w:tc>
          <w:tcPr>
            <w:tcW w:w="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0" w:type="dxa"/>
            <w:tcBorders/>
            <w:shd w:fill="CFF0FC" w:val="clear"/>
            <w:vAlign w:val="center"/>
          </w:tcPr>
          <w:p>
            <w:pPr>
              <w:pStyle w:val="TableContents"/>
              <w:bidi w:val="0"/>
              <w:spacing w:before="0" w:after="283"/>
              <w:jc w:val="right"/>
              <w:rPr>
                <w:color w:val="000000"/>
              </w:rPr>
            </w:pPr>
            <w:r>
              <w:rPr>
                <w:color w:val="000000"/>
              </w:rPr>
              <w:t>—</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6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State and Local</w:t>
            </w:r>
          </w:p>
        </w:tc>
        <w:tc>
          <w:tcPr>
            <w:tcW w:w="59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267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income tax expense</w:t>
            </w:r>
          </w:p>
        </w:tc>
        <w:tc>
          <w:tcPr>
            <w:tcW w:w="59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94" w:type="dxa"/>
            <w:tcBorders/>
            <w:shd w:fill="FFFFFF" w:val="clear"/>
            <w:vAlign w:val="center"/>
          </w:tcPr>
          <w:p>
            <w:pPr>
              <w:pStyle w:val="TableContents"/>
              <w:bidi w:val="0"/>
              <w:spacing w:before="0" w:after="283"/>
              <w:jc w:val="left"/>
              <w:rPr/>
            </w:pPr>
            <w:r>
              <w:rPr/>
              <w:t> </w:t>
            </w:r>
          </w:p>
        </w:tc>
      </w:tr>
      <w:tr>
        <w:trPr/>
        <w:tc>
          <w:tcPr>
            <w:tcW w:w="26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w:t>
            </w:r>
          </w:p>
        </w:tc>
        <w:tc>
          <w:tcPr>
            <w:tcW w:w="221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1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18" w:type="dxa"/>
            <w:gridSpan w:val="2"/>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ind w:left="0" w:right="0" w:firstLine="100"/>
              <w:jc w:val="right"/>
              <w:rPr/>
            </w:pPr>
            <w:r>
              <w:rPr/>
              <w:t> </w:t>
            </w:r>
          </w:p>
        </w:tc>
      </w:tr>
      <w:tr>
        <w:trPr/>
        <w:tc>
          <w:tcPr>
            <w:tcW w:w="26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Federal</w:t>
            </w:r>
          </w:p>
        </w:tc>
        <w:tc>
          <w:tcPr>
            <w:tcW w:w="59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color w:val="000000"/>
              </w:rPr>
            </w:pPr>
            <w:r>
              <w:rPr>
                <w:color w:val="000000"/>
              </w:rPr>
              <w:t>—</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267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State and Local</w:t>
            </w:r>
          </w:p>
        </w:tc>
        <w:tc>
          <w:tcPr>
            <w:tcW w:w="59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color w:val="000000"/>
              </w:rPr>
            </w:pPr>
            <w:r>
              <w:rPr>
                <w:color w:val="000000"/>
              </w:rPr>
              <w:t>—</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6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income tax expense</w:t>
            </w:r>
          </w:p>
        </w:tc>
        <w:tc>
          <w:tcPr>
            <w:tcW w:w="59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color w:val="000000"/>
              </w:rPr>
            </w:pPr>
            <w:r>
              <w:rPr>
                <w:color w:val="000000"/>
              </w:rPr>
              <w:t>—</w:t>
            </w:r>
          </w:p>
        </w:tc>
        <w:tc>
          <w:tcPr>
            <w:tcW w:w="294" w:type="dxa"/>
            <w:tcBorders/>
            <w:shd w:fill="CFF0FC" w:val="clear"/>
            <w:vAlign w:val="center"/>
          </w:tcPr>
          <w:p>
            <w:pPr>
              <w:pStyle w:val="TableContents"/>
              <w:bidi w:val="0"/>
              <w:spacing w:before="0" w:after="283"/>
              <w:jc w:val="left"/>
              <w:rPr/>
            </w:pPr>
            <w:r>
              <w:rPr/>
              <w:t> </w:t>
            </w:r>
          </w:p>
        </w:tc>
      </w:tr>
      <w:tr>
        <w:trPr/>
        <w:tc>
          <w:tcPr>
            <w:tcW w:w="26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expense</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A reconciliation between the U.S. federal statutory tax rate and the Company's effective tax rate is summarized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3"/>
        <w:gridCol w:w="211"/>
        <w:gridCol w:w="841"/>
        <w:gridCol w:w="166"/>
        <w:gridCol w:w="146"/>
        <w:gridCol w:w="248"/>
        <w:gridCol w:w="894"/>
        <w:gridCol w:w="271"/>
        <w:gridCol w:w="146"/>
        <w:gridCol w:w="211"/>
        <w:gridCol w:w="841"/>
        <w:gridCol w:w="166"/>
        <w:gridCol w:w="146"/>
        <w:gridCol w:w="248"/>
        <w:gridCol w:w="894"/>
        <w:gridCol w:w="271"/>
        <w:gridCol w:w="146"/>
        <w:gridCol w:w="211"/>
        <w:gridCol w:w="841"/>
        <w:gridCol w:w="166"/>
        <w:gridCol w:w="146"/>
        <w:gridCol w:w="248"/>
        <w:gridCol w:w="894"/>
        <w:gridCol w:w="320"/>
      </w:tblGrid>
      <w:tr>
        <w:trPr/>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533" w:type="dxa"/>
            <w:tcBorders/>
            <w:shd w:fill="FFFFFF" w:val="clear"/>
            <w:vAlign w:val="center"/>
          </w:tcPr>
          <w:p>
            <w:pPr>
              <w:pStyle w:val="TableContents"/>
              <w:bidi w:val="0"/>
              <w:spacing w:before="0" w:after="283"/>
              <w:jc w:val="left"/>
              <w:rPr/>
            </w:pPr>
            <w:r>
              <w:rPr/>
              <w:t> </w:t>
            </w:r>
          </w:p>
        </w:tc>
        <w:tc>
          <w:tcPr>
            <w:tcW w:w="83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3" w:type="dxa"/>
            <w:tcBorders/>
            <w:shd w:fill="FFFFFF" w:val="cle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3"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income before income taxes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income before income taxes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income before income taxes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U.S. federal income tax</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rate differential</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20" w:type="dxa"/>
            <w:tcBorders/>
            <w:shd w:fill="CFF0FC" w:val="cle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20" w:type="dxa"/>
            <w:tcBorders/>
            <w:shd w:fill="CFF0FC" w:val="cle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320" w:type="dxa"/>
            <w:tcBorders/>
            <w:shd w:fill="FFFFFF" w:val="clear"/>
            <w:vAlign w:val="center"/>
          </w:tcPr>
          <w:p>
            <w:pPr>
              <w:pStyle w:val="TableContents"/>
              <w:bidi w:val="0"/>
              <w:spacing w:before="0" w:after="283"/>
              <w:jc w:val="left"/>
              <w:rPr/>
            </w:pPr>
            <w:r>
              <w:rPr/>
              <w:t> </w:t>
            </w:r>
          </w:p>
        </w:tc>
      </w:tr>
      <w:tr>
        <w:trPr/>
        <w:tc>
          <w:tcPr>
            <w:tcW w:w="15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state apportionment</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color w:val="000000"/>
              </w:rPr>
            </w:pPr>
            <w:r>
              <w:rPr>
                <w:color w:val="000000"/>
              </w:rPr>
              <w:t>—</w:t>
            </w:r>
          </w:p>
        </w:tc>
        <w:tc>
          <w:tcPr>
            <w:tcW w:w="320" w:type="dxa"/>
            <w:tcBorders/>
            <w:shd w:fill="CFF0FC" w:val="cle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conversion</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Effective income tax provision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effective income tax rate for the year ended December 31, 2023 compared to the year ended December 31, 2022 increased primarily as a result of operations in state jurisdictions.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accounts for income taxes in accordance with ASC Topic 740. Deferred income tax assets and liabilities are determined based upon temporary differences between the financial reporting and tax basis of assets and liabilities and are measured using the enacted tax rates and laws that will be in effect when the differences are expected to reverse.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the principal components of the Company’s deferred tax assets and liabilities (in thousands): </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3406"/>
        <w:gridCol w:w="211"/>
        <w:gridCol w:w="841"/>
        <w:gridCol w:w="166"/>
        <w:gridCol w:w="146"/>
        <w:gridCol w:w="211"/>
        <w:gridCol w:w="841"/>
        <w:gridCol w:w="611"/>
      </w:tblGrid>
      <w:tr>
        <w:trPr/>
        <w:tc>
          <w:tcPr>
            <w:tcW w:w="3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Intangible assets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187,839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operating loss carryforwards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228,985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 credits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Orphan drug credits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Development derivative liability</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Convertible debt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Fixed Assets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Lease liability</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Accruals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Fixed assets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Right-of-use asset</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481(a) adjustment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before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Tax Cuts and Jobs Act (TCJA) requires taxpayers to capitalize and amortize research and development (R&amp;D) expenditures under section 174 for tax years beginning after December 31, 2021. This rule became effective for the Company on January 1, 2022 and resulted in the capitalization of R&amp;D costs of approximately $42.3 million and $47.6 million for tax year ending December 31, 2023 and 2022, respectively. The Company will amortize these costs for tax purposes over 5 years if the R&amp;D was performed in the U.S. and over 15 years if the R&amp;D was performed outside the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Topic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full valuation allowances against its domestic and foreign deferred tax assets on December 31, 2023, because management has determined that is it more likely than not that these assets will not be realized. The valuation allowance increased by $116.9 million from December 31, 2022 to December 31, 2023, primarily due to increases in operating losses and research and development tax credits.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31, 2023, the Company had approximately $494.1 million, $524.0 million and $1,663.3 million of federal, state and foreign net operating loss carryforward, respectively. On December 31, 2022, the Company had approximately $312.8 million, $395.4 million and $1,204.7 million of federal, state and foreign net operating loss carryforward, respectively. The Company also had federal and state research and development tax credit carryforwards $85.7 million and $20.2 million, respectively of as of December 31, 2023. Federal net operating loss carryforward in the amount of $449.8 million may be carried forward indefinitely. The remaining federal and state net operating loss, research and development tax credit carryforwards begin to expire in 2025. The Company’s foreign net operating loss carryforwards will begin to expire in 2027.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provisions of the Internal Revenue Code (“IRC”), the net operating loss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that it believes may have resulted in a change in control as defined by Sections 382 and 383 of the IRC.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does not have any unrecognized tax benefits during any periods presented and does not expect this to significantly change in the next twelve months. There were no interest and penalties recorded in the statement of operations during any period and no amounts accrued for interest and penalties on December 31, 2023 or 2022.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its subsidiaries file income tax returns in the United States, as well as various state and foreign jurisdictions. Generally, the tax years 2020 through 2022 remain open and subject to examination by the major taxing jurisdictions to which the Company is subject. To the extent the Company has tax attribute carryforwards, the tax years in which the attribute was generated may still be adjusted upon examination by the Internal Revenue Service, or state or foreign tax authorities, to the extent utilized in a future period.</w:t>
      </w:r>
    </w:p>
    <w:p>
      <w:pPr>
        <w:pStyle w:val="TextBody"/>
        <w:bidi w:val="0"/>
        <w:spacing w:before="360" w:after="283"/>
        <w:jc w:val="left"/>
        <w:rPr>
          <w:rFonts w:ascii="Times New Roman" w:hAnsi="Times New Roman"/>
          <w:sz w:val="20"/>
        </w:rPr>
      </w:pPr>
      <w:r>
        <w:rPr>
          <w:rFonts w:ascii="Times New Roman" w:hAnsi="Times New Roman"/>
          <w:b/>
          <w:color w:val="000000"/>
          <w:sz w:val="20"/>
        </w:rPr>
        <w:t>15.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certain non-cancelable purchase obligations related to the manufacturing of drug substance and drug product, with Bachem Americas, Inc., under which the Company has agreed to purchase a significant portion of its requirements for the pegcetacoplan drug substance over the next five years and a commercial supply agreement with NOF Corporation, under which the Company has agreed to purchase activated polyethylene glycol derivative, or PEG, which is a component of pegcetacoplan. Under these agreements, as of December 31, 2023, the Company is obligated to pay up to an aggregate of $94.6 million to these vendors. In addition, the Company has other non-cancelable purchase agreements as of December 31, 2023, under which it is obligated to pay up to $16.1 million to vendors.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is a party to a master lease agreement under which the Company leases vehicles with initial terms of 36 months from the date of delivery. If the Company were unable to take delivery of a previously ordered vehicle, the Company may incur nominal fees</w:t>
      </w:r>
      <w:r>
        <w:rPr>
          <w:rFonts w:ascii="Times New Roman" w:hAnsi="Times New Roman"/>
          <w:color w:val="000000"/>
          <w:sz w:val="18"/>
        </w:rPr>
        <w:t>.</w:t>
      </w:r>
    </w:p>
    <w:p>
      <w:pPr>
        <w:pStyle w:val="TextBody"/>
        <w:bidi w:val="0"/>
        <w:spacing w:before="200" w:after="283"/>
        <w:jc w:val="left"/>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pStyle w:val="TextBody"/>
        <w:bidi w:val="0"/>
        <w:spacing w:before="200" w:after="283"/>
        <w:jc w:val="left"/>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—During the normal course of business, the Company may be a party to legal claims that may not be covered by insurance. The Company cannot predict the outcome of the litigation described in Item 3 with certainty. The Company intends to defend vigorously against this litigation.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Equity Incentive Plans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of Directors adopted, and its stockholders approved, an equity incentive plan in 2010 (as amended, the “2010 Plan”). The Board of Directors and stockholders amended the 2010 Plan in August 2017 to increase the number of shares of common stock reserved for issuance thereunder to 6,188,466. The 2010 Plan allowed for the grant of incentive stock options and non-qualified stock options to purchase common stock for employees, directors and consultants under terms and conditions established by the Board of Directors. Incentive stock options and nonqualified stock options were granted at exercise prices that were no less than 100% of the estimated fair value per share of the common stock on the date of grant. If an individual owns capital stock representing more than 10% of the voting shares, the price of each share was at least 110% of the fair value on the date of grant. The Board of Directors determined the fair value of common stock with the assistance of a third-party specialist. Options expire 10 years from the issuance date. Following the adoption of the 2017 Stock Incentive Plan, the Company no longer grants stock options or other awards under the 2010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2017, the Company’s Board of Directors adopted, and its stockholders approved, the 2017 Stock Incentive Plan (the “2017 Plan”), which became effective on November 8, 2017. The 2017 Plan provides for the grant of incentive stock options, non-statutory stock options, stock appreciation rights, awards of restricted stock, restricted stock units and other stock-based awards. The number of shares of common stock reserved for issuance under the 2017 plan is the sum of (i) 1,359,587 shares of common stock, plus (ii) an additional number of shares of common stock equal to the sum of (a) the number of shares of common stock reserved for issuance under the 2010 equity incentive plan that remained available for future issuance immediately prior to the effectiveness of the 2017 Plan, which was 299,568 shares, and (b) the number of shares of common stock subject to outstanding awards under the 2010 equity incentive plan upon effectiveness of the 2017 plan that expire, terminate or are otherwise surrendered, cancelled, forfeited or repurchased by us at their original issuance price pursuant to a contractual repurchase right plus (iii) an annual increase, to be added the first day of each fiscal year, beginning with the fiscal year ending December 31, 2018 and continuing until, and including, the fiscal year ending December 31, 2027, equal to the lowest of 4,219,409 shares of common stock, 4.0% of the number of shares of common stock outstanding on the first day of the fiscal year and an amount determined by the board of directors. In January 2024, the shares available for future issuance under the 2017 plan were increased by 4,219,409 shares pursuant to the annual increase described above. As of December 31, 2023, there were 6,497,120 shares available for future grants under the 2017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since 2019, the Company has granted equity awards as equity inducement awards material to entry into employment with the Company to certain newly hired employees outside of the Company’s existing plans in accordance with Nasdaq listing rule 5635(c)(4). In February 2020, the Board of Directors adopted the 2020 Inducement Stock Incentive Plan (the “2020 Plan”), which permitted the Company to grant equity awards to newly hired employees in accordance with Nasdaq listing rule 5635(c)(4). The aggregate number of shares reserved for issuance under the 2020 Plan was initially 750,000 shares. The Board of Directors amended the 2020 Plan to add 200,000 shares on January 1, 2024, which increased the total number of shares reserved for issuance to 1,950,000 shares as of January 1, 2024. As of December 31, 2023, there were 354,466 shares available for future grants under the 2020 Plan.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October 2017, the Company’s board of directors adopted, and the Company’s stockholders approved the 2017 Employee Stock Purchase Plan (“ESPP”), which became effective upon the IPO and provides participating employees with the opportunity to purchase up to an aggregate of 468,823 shares of common stock. The number of shares of common stock reserved for issuance under the 2017 ESPP will automatically increase on the first day of each fiscal year, beginning with the fiscal year ending December 31, 2018 and continuing until, and including, the fiscal year ending December 31, 2027, equal to the lowest of (i) 937,646 shares of common stock, (ii) 1.0% of the number of shares of common stock outstanding on the first day of the fiscal year and (iii) an amount determined by the board of directors. The board of directors initiated the first offering under ESPP in October 2019.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reserved the following shares of common stock for future issuance (in thousands):</w:t>
      </w:r>
    </w:p>
    <w:tbl>
      <w:tblPr>
        <w:tblW w:w="8312" w:type="dxa"/>
        <w:jc w:val="left"/>
        <w:tblInd w:w="0" w:type="dxa"/>
        <w:tblLayout w:type="fixed"/>
        <w:tblCellMar>
          <w:top w:w="28" w:type="dxa"/>
          <w:left w:w="28" w:type="dxa"/>
          <w:bottom w:w="28" w:type="dxa"/>
          <w:right w:w="28" w:type="dxa"/>
        </w:tblCellMar>
      </w:tblPr>
      <w:tblGrid>
        <w:gridCol w:w="5071"/>
        <w:gridCol w:w="146"/>
        <w:gridCol w:w="676"/>
        <w:gridCol w:w="146"/>
        <w:gridCol w:w="146"/>
        <w:gridCol w:w="146"/>
        <w:gridCol w:w="676"/>
        <w:gridCol w:w="146"/>
        <w:gridCol w:w="146"/>
        <w:gridCol w:w="146"/>
        <w:gridCol w:w="676"/>
        <w:gridCol w:w="1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vAlign w:val="center"/>
          </w:tcPr>
          <w:p>
            <w:pPr>
              <w:pStyle w:val="TableContents"/>
              <w:bidi w:val="0"/>
              <w:spacing w:before="0" w:after="283"/>
              <w:jc w:val="lef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under 2017 Equity Incentive Plan</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under 2017 Employee Stock Purchase Plan</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under 2020 Inducement Stock Incentive Plan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Total share-based compensation expense related to the various plans during the years ended was as follows (in thousands):</w:t>
      </w:r>
    </w:p>
    <w:p>
      <w:pPr>
        <w:pStyle w:val="TextBody"/>
        <w:bidi w:val="0"/>
        <w:jc w:val="left"/>
        <w:rPr/>
      </w:pPr>
      <w:r>
        <w:rPr/>
        <w:t> </w:t>
      </w:r>
    </w:p>
    <w:tbl>
      <w:tblPr>
        <w:tblW w:w="7377" w:type="dxa"/>
        <w:jc w:val="left"/>
        <w:tblInd w:w="0" w:type="dxa"/>
        <w:tblLayout w:type="fixed"/>
        <w:tblCellMar>
          <w:top w:w="28" w:type="dxa"/>
          <w:left w:w="28" w:type="dxa"/>
          <w:bottom w:w="28" w:type="dxa"/>
          <w:right w:w="28" w:type="dxa"/>
        </w:tblCellMar>
      </w:tblPr>
      <w:tblGrid>
        <w:gridCol w:w="3636"/>
        <w:gridCol w:w="211"/>
        <w:gridCol w:w="781"/>
        <w:gridCol w:w="146"/>
        <w:gridCol w:w="146"/>
        <w:gridCol w:w="211"/>
        <w:gridCol w:w="676"/>
        <w:gridCol w:w="146"/>
        <w:gridCol w:w="146"/>
        <w:gridCol w:w="211"/>
        <w:gridCol w:w="676"/>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391" w:type="dxa"/>
            <w:tcBorders/>
            <w:shd w:fill="CFF0FC"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share-based compensation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Options granted generally vest over 48 months. Options granted to employees on or after December 5, 2013 generally vest in installments of (i) 25% at the one-year anniversary and (ii) in either 36 equal monthly or 12 equal quarterly installments beginning in the thirteenth month after the initial vesting commencement date (as defined) subject to the employee’s continuous service with the Company. Options granted before December 5, 2013 vest over four years in equal annual installments of 25% at each anniversary of the grant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Executive Separation Benefits and Retention Plan and by resolutions adopted by the Compensation Committee in October 2019, the stock options granted to the Company’s executives and employees will become fully vested upon the occurrence of a change in control, as defined in the Executive Separation Benefits and Retention Plan, if such executive or employee is terminated without cause or resigns for good reason within 12 months after such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stock option activity:</w:t>
      </w:r>
    </w:p>
    <w:p>
      <w:pPr>
        <w:pStyle w:val="TextBody"/>
        <w:bidi w:val="0"/>
        <w:jc w:val="left"/>
        <w:rPr/>
      </w:pPr>
      <w:r>
        <w:rPr/>
        <w:t> </w:t>
      </w:r>
    </w:p>
    <w:tbl>
      <w:tblPr>
        <w:tblW w:w="8965" w:type="dxa"/>
        <w:jc w:val="left"/>
        <w:tblInd w:w="0" w:type="dxa"/>
        <w:tblLayout w:type="fixed"/>
        <w:tblCellMar>
          <w:top w:w="28" w:type="dxa"/>
          <w:left w:w="28" w:type="dxa"/>
          <w:bottom w:w="28" w:type="dxa"/>
          <w:right w:w="28" w:type="dxa"/>
        </w:tblCellMar>
      </w:tblPr>
      <w:tblGrid>
        <w:gridCol w:w="3391"/>
        <w:gridCol w:w="146"/>
        <w:gridCol w:w="199"/>
        <w:gridCol w:w="926"/>
        <w:gridCol w:w="166"/>
        <w:gridCol w:w="146"/>
        <w:gridCol w:w="242"/>
        <w:gridCol w:w="658"/>
        <w:gridCol w:w="146"/>
        <w:gridCol w:w="146"/>
        <w:gridCol w:w="235"/>
        <w:gridCol w:w="756"/>
        <w:gridCol w:w="146"/>
        <w:gridCol w:w="146"/>
        <w:gridCol w:w="239"/>
        <w:gridCol w:w="886"/>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2022</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317,031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3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2023</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December 31, 2023</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226,419</w:t>
            </w:r>
          </w:p>
        </w:tc>
        <w:tc>
          <w:tcPr>
            <w:tcW w:w="3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to vest, December 31, 2023</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27,515</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aggregate intrinsic values of options outstanding, exercisable, vested and expected to vest were calculated as the difference between the exercise price of the options and the fair value of the common stock as of December 31,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years ended December 31, 2023, 2022 and 2021, the Company granted stock options to purchase an aggregate of 0.8 million, 1.3 million and 2.7 million shares of its common stock, respectively with weighted average grant date fair values of $34.26, $23.62 and $30.72,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aggregate intrinsic value of options exercised during the years ended December 31, 2023, 2022 and 2021 were $181.0 million, $44.8 million, and $39.9 million respectively calculated as the difference between the exercise price of the underlying options and the estimated fair value of the common stock for the options on the respective date of exercise.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fair market value of options vested during the years ended December 31, 2023, 2022 and 2021 were $46.8 million, $59.0 million and $53.2 million,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31, 2023, unrecognized compensation expense related to unvested options, was $46.1 million, which the Company expects to recognize over an estimated weighted-average period of 2.18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assumptions used in the Black-Scholes model to estimate the grant date fair value are as follows:</w:t>
      </w:r>
    </w:p>
    <w:p>
      <w:pPr>
        <w:pStyle w:val="TextBody"/>
        <w:bidi w:val="0"/>
        <w:jc w:val="left"/>
        <w:rPr/>
      </w:pPr>
      <w:r>
        <w:rPr/>
        <w:t> </w:t>
      </w:r>
    </w:p>
    <w:tbl>
      <w:tblPr>
        <w:tblW w:w="5711" w:type="dxa"/>
        <w:jc w:val="left"/>
        <w:tblInd w:w="0" w:type="dxa"/>
        <w:tblLayout w:type="fixed"/>
        <w:tblCellMar>
          <w:top w:w="28" w:type="dxa"/>
          <w:left w:w="28" w:type="dxa"/>
          <w:bottom w:w="28" w:type="dxa"/>
          <w:right w:w="28" w:type="dxa"/>
        </w:tblCellMar>
      </w:tblPr>
      <w:tblGrid>
        <w:gridCol w:w="1951"/>
        <w:gridCol w:w="1141"/>
        <w:gridCol w:w="146"/>
        <w:gridCol w:w="1141"/>
        <w:gridCol w:w="146"/>
        <w:gridCol w:w="1186"/>
      </w:tblGrid>
      <w:tr>
        <w:trPr/>
        <w:tc>
          <w:tcPr>
            <w:tcW w:w="195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37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1951" w:type="dxa"/>
            <w:tcBorders/>
            <w:shd w:fill="FFFFFF" w:val="cle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3.50 - 4.01%</w:t>
            </w:r>
          </w:p>
        </w:tc>
        <w:tc>
          <w:tcPr>
            <w:tcW w:w="146" w:type="dxa"/>
            <w:tcBorders/>
            <w:shd w:fill="CFF0FC" w:val="clear"/>
            <w:vAlign w:val="center"/>
          </w:tcPr>
          <w:p>
            <w:pPr>
              <w:pStyle w:val="TableContents"/>
              <w:bidi w:val="0"/>
              <w:spacing w:before="0" w:after="283"/>
              <w:jc w:val="righ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1.15 - 3.37%</w:t>
            </w:r>
          </w:p>
        </w:tc>
        <w:tc>
          <w:tcPr>
            <w:tcW w:w="146" w:type="dxa"/>
            <w:tcBorders/>
            <w:shd w:fill="CFF0FC" w:val="clear"/>
            <w:vAlign w:val="center"/>
          </w:tcPr>
          <w:p>
            <w:pPr>
              <w:pStyle w:val="TableContents"/>
              <w:bidi w:val="0"/>
              <w:spacing w:before="0" w:after="283"/>
              <w:jc w:val="righ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0.41 - 1.34%</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68.4 - 71.0%</w:t>
            </w:r>
          </w:p>
        </w:tc>
        <w:tc>
          <w:tcPr>
            <w:tcW w:w="146" w:type="dxa"/>
            <w:tcBorders/>
            <w:shd w:fill="CFF0FC" w:val="clear"/>
            <w:vAlign w:val="center"/>
          </w:tcPr>
          <w:p>
            <w:pPr>
              <w:pStyle w:val="TableContents"/>
              <w:bidi w:val="0"/>
              <w:spacing w:before="0" w:after="283"/>
              <w:jc w:val="righ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68.3 - 70.4%</w:t>
            </w:r>
          </w:p>
        </w:tc>
        <w:tc>
          <w:tcPr>
            <w:tcW w:w="146" w:type="dxa"/>
            <w:tcBorders/>
            <w:shd w:fill="CFF0FC" w:val="clear"/>
            <w:vAlign w:val="center"/>
          </w:tcPr>
          <w:p>
            <w:pPr>
              <w:pStyle w:val="TableContents"/>
              <w:bidi w:val="0"/>
              <w:spacing w:before="0" w:after="283"/>
              <w:jc w:val="righ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71.7 - 74.4%</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terms (years)</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3.81 - 6.08</w:t>
            </w:r>
          </w:p>
        </w:tc>
        <w:tc>
          <w:tcPr>
            <w:tcW w:w="146" w:type="dxa"/>
            <w:tcBorders/>
            <w:shd w:fill="FFFFFF" w:val="clear"/>
            <w:vAlign w:val="center"/>
          </w:tcPr>
          <w:p>
            <w:pPr>
              <w:pStyle w:val="TableContents"/>
              <w:bidi w:val="0"/>
              <w:spacing w:before="0" w:after="283"/>
              <w:jc w:val="righ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3.81 - 6.08</w:t>
            </w:r>
          </w:p>
        </w:tc>
        <w:tc>
          <w:tcPr>
            <w:tcW w:w="146"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5.31 - 6.08</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 xml:space="preserve">Restricted Stock Units— </w:t>
      </w:r>
      <w:r>
        <w:rPr>
          <w:rFonts w:ascii="Times New Roman" w:hAnsi="Times New Roman"/>
          <w:color w:val="000000"/>
          <w:sz w:val="20"/>
        </w:rPr>
        <w:t>The fair value of RSU’s is estimated based upon the closing market price of the Company’s common stock on the date of grant. RSUs generally vest annually over a four-year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RSU's activity:</w:t>
      </w:r>
    </w:p>
    <w:p>
      <w:pPr>
        <w:pStyle w:val="TextBody"/>
        <w:bidi w:val="0"/>
        <w:jc w:val="left"/>
        <w:rPr/>
      </w:pPr>
      <w:r>
        <w:rPr/>
        <w:t> </w:t>
      </w:r>
    </w:p>
    <w:tbl>
      <w:tblPr>
        <w:tblW w:w="9940" w:type="dxa"/>
        <w:jc w:val="left"/>
        <w:tblInd w:w="0" w:type="dxa"/>
        <w:tblLayout w:type="fixed"/>
        <w:tblCellMar>
          <w:top w:w="28" w:type="dxa"/>
          <w:left w:w="28" w:type="dxa"/>
          <w:bottom w:w="28" w:type="dxa"/>
          <w:right w:w="28" w:type="dxa"/>
        </w:tblCellMar>
      </w:tblPr>
      <w:tblGrid>
        <w:gridCol w:w="3406"/>
        <w:gridCol w:w="146"/>
        <w:gridCol w:w="329"/>
        <w:gridCol w:w="1426"/>
        <w:gridCol w:w="166"/>
        <w:gridCol w:w="146"/>
        <w:gridCol w:w="1056"/>
        <w:gridCol w:w="2874"/>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Units</w:t>
              <w:br/>
              <w:t>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at December 31, 2022</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14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56" w:type="dxa"/>
            <w:tcBorders/>
            <w:shd w:fill="CFF0FC" w:val="clear"/>
            <w:vAlign w:val="center"/>
          </w:tcPr>
          <w:p>
            <w:pPr>
              <w:pStyle w:val="TableContents"/>
              <w:bidi w:val="0"/>
              <w:spacing w:before="0" w:after="283"/>
              <w:jc w:val="left"/>
              <w:rPr/>
            </w:pPr>
            <w:r>
              <w:rPr/>
              <w:t> </w:t>
            </w:r>
          </w:p>
        </w:tc>
        <w:tc>
          <w:tcPr>
            <w:tcW w:w="2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056" w:type="dxa"/>
            <w:tcBorders/>
            <w:shd w:fill="FFFFFF" w:val="clear"/>
            <w:vAlign w:val="center"/>
          </w:tcPr>
          <w:p>
            <w:pPr>
              <w:pStyle w:val="TableContents"/>
              <w:bidi w:val="0"/>
              <w:spacing w:before="0" w:after="283"/>
              <w:jc w:val="left"/>
              <w:rPr/>
            </w:pPr>
            <w:r>
              <w:rPr/>
              <w:t> </w:t>
            </w:r>
          </w:p>
        </w:tc>
        <w:tc>
          <w:tcPr>
            <w:tcW w:w="2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6" w:type="dxa"/>
            <w:tcBorders/>
            <w:shd w:fill="CFF0FC" w:val="clear"/>
            <w:vAlign w:val="center"/>
          </w:tcPr>
          <w:p>
            <w:pPr>
              <w:pStyle w:val="TableContents"/>
              <w:bidi w:val="0"/>
              <w:spacing w:before="0" w:after="283"/>
              <w:jc w:val="left"/>
              <w:rPr/>
            </w:pPr>
            <w:r>
              <w:rPr/>
              <w:t> </w:t>
            </w:r>
          </w:p>
        </w:tc>
        <w:tc>
          <w:tcPr>
            <w:tcW w:w="2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3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at December 31, 2023</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6" w:type="dxa"/>
            <w:tcBorders/>
            <w:shd w:fill="FFFFFF" w:val="clear"/>
            <w:vAlign w:val="center"/>
          </w:tcPr>
          <w:p>
            <w:pPr>
              <w:pStyle w:val="TableContents"/>
              <w:bidi w:val="0"/>
              <w:spacing w:before="0" w:after="283"/>
              <w:jc w:val="left"/>
              <w:rPr/>
            </w:pPr>
            <w:r>
              <w:rPr/>
              <w:t> </w:t>
            </w:r>
          </w:p>
        </w:tc>
        <w:tc>
          <w:tcPr>
            <w:tcW w:w="2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aggregate intrinsic value of restricted grants vested during the year ended December 31, 2023, was $55.3 million. The fair market value of restricted stock units vested during the year ended December 31, 2023 was $42.2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31, 2023, there was approximately $155.5 million of related unrecognized compensation cost which the Company expects to recognize over a remaining weighted average period of 2.6 years.</w:t>
      </w:r>
    </w:p>
    <w:p>
      <w:pPr>
        <w:pStyle w:val="TextBody"/>
        <w:bidi w:val="0"/>
        <w:spacing w:before="360" w:after="283"/>
        <w:jc w:val="left"/>
        <w:rPr>
          <w:rFonts w:ascii="Times New Roman" w:hAnsi="Times New Roman"/>
          <w:sz w:val="20"/>
        </w:rPr>
      </w:pPr>
      <w:r>
        <w:rPr>
          <w:rFonts w:ascii="Times New Roman" w:hAnsi="Times New Roman"/>
          <w:i/>
          <w:color w:val="000000"/>
          <w:sz w:val="20"/>
        </w:rPr>
        <w:t>Employee Stock Purchase Plan—</w:t>
      </w:r>
      <w:r>
        <w:rPr>
          <w:rFonts w:ascii="Times New Roman" w:hAnsi="Times New Roman"/>
          <w:color w:val="000000"/>
          <w:sz w:val="20"/>
        </w:rPr>
        <w:t>On December 31, 2023, 552,881 shares of common stock remained available for issuance pursuant to the ESPP. Eligible employees who elect to participate in an offering under the ESPP may have up to 15 percent of their earnings withheld, subject to certain limitations, to purchase shares of common stock pursuant to the ESPP. The price of common stock purchased under the ESPP is equal to 85 percent of the lower of the fair market value of the common stock at the commencement date of each offering period or the relevant purchase date. During the year ended December 31, 2023, a total of 112,064 shares of common stock were issued under the ESPP at average per share price of $48.00. During the year ended December 31, 2023, the Company recorded cash received from the issuance of stock to the ESPP of $5.4 million and recorded $2.1 million of stock-based compensation expense related to the ESPP. No additional shares were reserved to the ESPP in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17. Net Loss per Common Share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presents the calculation of basic and diluted net loss per common share (amounts in thousands except per share amounts): </w:t>
      </w:r>
    </w:p>
    <w:tbl>
      <w:tblPr>
        <w:tblW w:w="10205" w:type="dxa"/>
        <w:jc w:val="left"/>
        <w:tblInd w:w="0" w:type="dxa"/>
        <w:tblLayout w:type="fixed"/>
        <w:tblCellMar>
          <w:top w:w="28" w:type="dxa"/>
          <w:left w:w="28" w:type="dxa"/>
          <w:bottom w:w="28" w:type="dxa"/>
          <w:right w:w="28" w:type="dxa"/>
        </w:tblCellMar>
      </w:tblPr>
      <w:tblGrid>
        <w:gridCol w:w="5834"/>
        <w:gridCol w:w="211"/>
        <w:gridCol w:w="841"/>
        <w:gridCol w:w="166"/>
        <w:gridCol w:w="146"/>
        <w:gridCol w:w="211"/>
        <w:gridCol w:w="841"/>
        <w:gridCol w:w="166"/>
        <w:gridCol w:w="146"/>
        <w:gridCol w:w="211"/>
        <w:gridCol w:w="841"/>
        <w:gridCol w:w="591"/>
      </w:tblGrid>
      <w:tr>
        <w:trPr/>
        <w:tc>
          <w:tcPr>
            <w:tcW w:w="5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34" w:type="dxa"/>
            <w:tcBorders/>
            <w:shd w:fill="FFFFFF" w:val="clear"/>
            <w:vAlign w:val="center"/>
          </w:tcPr>
          <w:p>
            <w:pPr>
              <w:pStyle w:val="TableContents"/>
              <w:bidi w:val="0"/>
              <w:spacing w:before="0" w:after="283"/>
              <w:jc w:val="left"/>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shd w:fill="FFFFFF" w:val="clear"/>
            <w:vAlign w:val="center"/>
          </w:tcPr>
          <w:p>
            <w:pPr>
              <w:pStyle w:val="TableContents"/>
              <w:bidi w:val="0"/>
              <w:spacing w:before="0" w:after="283"/>
              <w:jc w:val="center"/>
              <w:rPr/>
            </w:pPr>
            <w:r>
              <w:rPr/>
              <w:t> </w:t>
            </w:r>
          </w:p>
        </w:tc>
      </w:tr>
      <w:tr>
        <w:trPr/>
        <w:tc>
          <w:tcPr>
            <w:tcW w:w="5834"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8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(746,354</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8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number of common shares used in net loss per common share - basic and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Shares outstanding presented below were excluded from the calculation of diluted net loss per share, prior to the use of the if-converted-method and treasury stock method, as their effect is anti-dilutive (in thousands):</w:t>
      </w:r>
    </w:p>
    <w:p>
      <w:pPr>
        <w:pStyle w:val="TextBody"/>
        <w:bidi w:val="0"/>
        <w:jc w:val="left"/>
        <w:rPr/>
      </w:pPr>
      <w:r>
        <w:rPr/>
        <w:t> </w:t>
      </w:r>
    </w:p>
    <w:tbl>
      <w:tblPr>
        <w:tblW w:w="5887" w:type="dxa"/>
        <w:jc w:val="left"/>
        <w:tblInd w:w="0" w:type="dxa"/>
        <w:tblLayout w:type="fixed"/>
        <w:tblCellMar>
          <w:top w:w="28" w:type="dxa"/>
          <w:left w:w="28" w:type="dxa"/>
          <w:bottom w:w="28" w:type="dxa"/>
          <w:right w:w="28" w:type="dxa"/>
        </w:tblCellMar>
      </w:tblPr>
      <w:tblGrid>
        <w:gridCol w:w="2446"/>
        <w:gridCol w:w="146"/>
        <w:gridCol w:w="676"/>
        <w:gridCol w:w="146"/>
        <w:gridCol w:w="146"/>
        <w:gridCol w:w="146"/>
        <w:gridCol w:w="676"/>
        <w:gridCol w:w="146"/>
        <w:gridCol w:w="146"/>
        <w:gridCol w:w="146"/>
        <w:gridCol w:w="676"/>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under option</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2" w:name="item_9_changes_in_disagreements_with_acc"/>
      <w:bookmarkEnd w:id="22"/>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23" w:name="item_9a_controls_procedures"/>
      <w:bookmarkEnd w:id="23"/>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left"/>
        <w:rPr>
          <w:rFonts w:ascii="Times New Roman" w:hAnsi="Times New Roman"/>
          <w:color w:val="000000"/>
          <w:sz w:val="20"/>
        </w:rPr>
      </w:pPr>
      <w:r>
        <w:rPr>
          <w:rFonts w:ascii="Times New Roman" w:hAnsi="Times New Roman"/>
          <w:color w:val="000000"/>
          <w:sz w:val="20"/>
        </w:rPr>
        <w:t>The Company’s management, with the participation of the Company’s chief executive officer and chief financial officer, evaluated the effectiveness of the Company’s disclosure controls and procedures as of as of December 31, 2023.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December 31, 2023, the Company’s chief executive officer and chief financial officer concluded that, as of such date, the Company’s disclosure controls and procedures were effective at the reasonable assurance level.</w:t>
      </w:r>
    </w:p>
    <w:p>
      <w:pPr>
        <w:pStyle w:val="TextBody"/>
        <w:bidi w:val="0"/>
        <w:jc w:val="left"/>
        <w:rPr/>
      </w:pPr>
      <w:r>
        <w:rPr/>
        <w:t>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Management’s Report on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management of the Company is responsible for establishing and maintaining adequate internal control over financial reporting as defined in Rule 13a-15(f) or 15d-15(f) under the Exchange Act. Our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the assets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management assessed the effectiveness of the company’s internal control over financial reporting as of December 31, 2023. In making this assessment, our management used the criteria set forth by the Committee of Sponsoring Organizations of the Treadway Commission in Internal Control-Integrated Framework (2013).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our assessment, management concluded that, as of December 31, 2023, our internal control over financial reporting is effective based on those criteria.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Deloitte &amp; Touche LLP, our independent auditors have issued an audit report on our assessment of the company’s internal control over financial reporting, which is included below.</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required by Rule 13a</w:t>
        <w:noBreakHyphen/>
        <w:t>15(d) of the Exchange Act, our management, including our principal executive officer and our principal financial officer, conducted an evaluation of the internal control over financial reporting to determine whether any changes occurred during the year ended December 31, 2023 that have materially affected, or are reasonably likely to materially affect, our internal control over financial reporting. Based on that evaluation, our principal executive officer and principal financial officer concluded no such changes during the year ended December 31, 2023 materially affected, or were reasonably likely to materially affect, our internal control over financial reporting.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 the Stockholders and the Board of Directors of Apellis Pharmaceuticals, Inc. </w:t>
      </w:r>
    </w:p>
    <w:p>
      <w:pPr>
        <w:pStyle w:val="TextBody"/>
        <w:bidi w:val="0"/>
        <w:spacing w:before="0" w:after="240"/>
        <w:jc w:val="left"/>
        <w:rPr>
          <w:rFonts w:ascii="Times New Roman" w:hAnsi="Times New Roman"/>
          <w:sz w:val="20"/>
        </w:rPr>
      </w:pPr>
      <w:r>
        <w:rPr>
          <w:rFonts w:ascii="Times New Roman" w:hAnsi="Times New Roman"/>
          <w:b/>
          <w:color w:val="000000"/>
          <w:sz w:val="20"/>
        </w:rPr>
        <w:t>Opinion on Internal Control over Financial Reporting</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audited the internal control over financial reporting of Apellis Pharmaceuticals,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financial statements. </w:t>
      </w:r>
    </w:p>
    <w:p>
      <w:pPr>
        <w:pStyle w:val="TextBody"/>
        <w:bidi w:val="0"/>
        <w:spacing w:before="0" w:after="24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240"/>
        <w:jc w:val="left"/>
        <w:rPr>
          <w:rFonts w:ascii="Times New Roman" w:hAnsi="Times New Roman"/>
          <w:sz w:val="20"/>
        </w:rPr>
      </w:pPr>
      <w:r>
        <w:rPr>
          <w:rFonts w:ascii="Times New Roman" w:hAnsi="Times New Roman"/>
          <w:b/>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27, 2024</w:t>
      </w:r>
    </w:p>
    <w:p>
      <w:pPr>
        <w:pStyle w:val="TextBody"/>
        <w:bidi w:val="0"/>
        <w:jc w:val="left"/>
        <w:rPr/>
      </w:pPr>
      <w:r>
        <w:rPr/>
        <w:t> </w:t>
      </w:r>
    </w:p>
    <w:p>
      <w:pPr>
        <w:pStyle w:val="TextBody"/>
        <w:bidi w:val="0"/>
        <w:spacing w:before="240" w:after="240"/>
        <w:jc w:val="left"/>
        <w:rPr>
          <w:rFonts w:ascii="Times New Roman" w:hAnsi="Times New Roman"/>
          <w:sz w:val="20"/>
        </w:rPr>
      </w:pPr>
      <w:bookmarkStart w:id="24" w:name="item_9b_or_information"/>
      <w:bookmarkEnd w:id="24"/>
      <w:r>
        <w:rPr>
          <w:rFonts w:ascii="Times New Roman" w:hAnsi="Times New Roman"/>
          <w:b/>
          <w:color w:val="000000"/>
          <w:sz w:val="20"/>
        </w:rPr>
        <w:t>Item 9B. Other Information</w:t>
      </w:r>
      <w:r>
        <w:rPr>
          <w:rFonts w:ascii="Verdana;sans-serif" w:hAnsi="Verdana;sans-serif"/>
          <w:b/>
          <w:color w:val="000000"/>
          <w:sz w:val="18"/>
        </w:rPr>
        <w: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4"/>
        <w:gridCol w:w="146"/>
        <w:gridCol w:w="1061"/>
        <w:gridCol w:w="146"/>
        <w:gridCol w:w="1467"/>
        <w:gridCol w:w="146"/>
        <w:gridCol w:w="1241"/>
        <w:gridCol w:w="146"/>
        <w:gridCol w:w="978"/>
        <w:gridCol w:w="1718"/>
        <w:gridCol w:w="166"/>
        <w:gridCol w:w="146"/>
        <w:gridCol w:w="625"/>
        <w:gridCol w:w="700"/>
        <w:gridCol w:w="215"/>
      </w:tblGrid>
      <w:tr>
        <w:trPr/>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 Taken</w:t>
              <w:br/>
              <w:t> (Date of 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Type of Trading </w:t>
              <w:br/>
              <w:t>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Nature of Trading </w:t>
              <w:br/>
              <w:t>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Duration of Trading </w:t>
              <w:br/>
              <w:t>Arrangement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w:t>
              <w:br/>
              <w:t> Securities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Cedric Francois</w:t>
              <w:br/>
              <w:t>President and Chief Executive</w:t>
              <w:br/>
              <w:t>Officer</w:t>
            </w:r>
          </w:p>
        </w:tc>
        <w:tc>
          <w:tcPr>
            <w:tcW w:w="146"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Adoption</w:t>
              <w:br/>
              <w:t>11/30/2023</w:t>
            </w:r>
          </w:p>
        </w:tc>
        <w:tc>
          <w:tcPr>
            <w:tcW w:w="146" w:type="dxa"/>
            <w:tcBorders/>
            <w:shd w:fill="CFF0FC" w:val="clear"/>
            <w:vAlign w:val="center"/>
          </w:tcPr>
          <w:p>
            <w:pPr>
              <w:pStyle w:val="TableContents"/>
              <w:bidi w:val="0"/>
              <w:spacing w:before="0" w:after="283"/>
              <w:jc w:val="left"/>
              <w:rPr/>
            </w:pPr>
            <w:r>
              <w:rPr/>
              <w:t> </w:t>
            </w:r>
          </w:p>
        </w:tc>
        <w:tc>
          <w:tcPr>
            <w:tcW w:w="1467"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Rule 10b5-1 trading arrangement</w:t>
            </w:r>
          </w:p>
        </w:tc>
        <w:tc>
          <w:tcPr>
            <w:tcW w:w="146" w:type="dxa"/>
            <w:tcBorders/>
            <w:shd w:fill="CFF0FC" w:val="clear"/>
            <w:vAlign w:val="center"/>
          </w:tcPr>
          <w:p>
            <w:pPr>
              <w:pStyle w:val="TableContents"/>
              <w:bidi w:val="0"/>
              <w:spacing w:before="0" w:after="283"/>
              <w:jc w:val="left"/>
              <w:rPr/>
            </w:pPr>
            <w:r>
              <w:rPr/>
              <w:t> </w:t>
            </w:r>
          </w:p>
        </w:tc>
        <w:tc>
          <w:tcPr>
            <w:tcW w:w="12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Sale</w:t>
            </w:r>
          </w:p>
        </w:tc>
        <w:tc>
          <w:tcPr>
            <w:tcW w:w="146" w:type="dxa"/>
            <w:tcBorders/>
            <w:shd w:fill="CFF0FC" w:val="clear"/>
            <w:vAlign w:val="center"/>
          </w:tcPr>
          <w:p>
            <w:pPr>
              <w:pStyle w:val="TableContents"/>
              <w:bidi w:val="0"/>
              <w:spacing w:before="0" w:after="283"/>
              <w:jc w:val="left"/>
              <w:rPr/>
            </w:pPr>
            <w:r>
              <w:rPr/>
              <w:t> </w:t>
            </w:r>
          </w:p>
        </w:tc>
        <w:tc>
          <w:tcPr>
            <w:tcW w:w="2696" w:type="dxa"/>
            <w:gridSpan w:val="2"/>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Until 2/28/2025, or such earlier date upon which all transactions are completed or expire without execution</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5" w:type="dxa"/>
            <w:gridSpan w:val="2"/>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Up to 420,000</w:t>
            </w:r>
            <w:r>
              <w:rPr>
                <w:rFonts w:ascii="Times New Roman" w:hAnsi="Times New Roman"/>
                <w:color w:val="000000"/>
                <w:sz w:val="20"/>
              </w:rPr>
              <w:t> </w:t>
            </w:r>
            <w:r>
              <w:rPr>
                <w:rFonts w:ascii="Times New Roman" w:hAnsi="Times New Roman"/>
                <w:color w:val="000000"/>
                <w:sz w:val="18"/>
              </w:rPr>
              <w:t>shares</w:t>
            </w:r>
          </w:p>
        </w:tc>
        <w:tc>
          <w:tcPr>
            <w:tcW w:w="215" w:type="dxa"/>
            <w:tcBorders/>
            <w:shd w:fill="CFF0FC" w:val="clear"/>
            <w:vAlign w:val="center"/>
          </w:tcPr>
          <w:p>
            <w:pPr>
              <w:pStyle w:val="TableContents"/>
              <w:bidi w:val="0"/>
              <w:spacing w:before="0" w:after="283"/>
              <w:jc w:val="left"/>
              <w:rPr/>
            </w:pPr>
            <w:r>
              <w:rPr/>
              <w:t> </w:t>
            </w:r>
          </w:p>
        </w:tc>
      </w:tr>
      <w:tr>
        <w:trPr/>
        <w:tc>
          <w:tcPr>
            <w:tcW w:w="13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Nur Nicholson</w:t>
            </w:r>
            <w:r>
              <w:rPr>
                <w:rFonts w:ascii="Times New Roman" w:hAnsi="Times New Roman"/>
                <w:color w:val="000000"/>
                <w:sz w:val="20"/>
              </w:rPr>
              <w:t xml:space="preserve"> </w:t>
            </w:r>
            <w:r>
              <w:rPr>
                <w:rFonts w:ascii="Times New Roman" w:hAnsi="Times New Roman"/>
                <w:color w:val="000000"/>
                <w:sz w:val="18"/>
              </w:rPr>
              <w:br/>
              <w:t>Chief Technical Operations</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Termination</w:t>
              <w:br/>
              <w:t>12/01/2023</w:t>
            </w:r>
          </w:p>
        </w:tc>
        <w:tc>
          <w:tcPr>
            <w:tcW w:w="146"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Rule 10b5-1 trading arrangement</w:t>
            </w:r>
          </w:p>
        </w:tc>
        <w:tc>
          <w:tcPr>
            <w:tcW w:w="146"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Sale</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left"/>
              <w:rPr/>
            </w:pPr>
            <w:r>
              <w:rPr/>
              <w:t> </w:t>
            </w:r>
          </w:p>
        </w:tc>
        <w:tc>
          <w:tcPr>
            <w:tcW w:w="17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Timothy E Sullivan</w:t>
              <w:br/>
              <w:t>Chief Financial Officer</w:t>
            </w:r>
          </w:p>
        </w:tc>
        <w:tc>
          <w:tcPr>
            <w:tcW w:w="146"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Adoption</w:t>
              <w:br/>
              <w:t>12/01/2023</w:t>
            </w:r>
          </w:p>
        </w:tc>
        <w:tc>
          <w:tcPr>
            <w:tcW w:w="146" w:type="dxa"/>
            <w:tcBorders/>
            <w:shd w:fill="CFF0FC" w:val="clear"/>
            <w:vAlign w:val="center"/>
          </w:tcPr>
          <w:p>
            <w:pPr>
              <w:pStyle w:val="TableContents"/>
              <w:bidi w:val="0"/>
              <w:spacing w:before="0" w:after="283"/>
              <w:jc w:val="left"/>
              <w:rPr/>
            </w:pPr>
            <w:r>
              <w:rPr/>
              <w:t> </w:t>
            </w:r>
          </w:p>
        </w:tc>
        <w:tc>
          <w:tcPr>
            <w:tcW w:w="1467"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Rule 10b5-1 trading arrangement</w:t>
            </w:r>
          </w:p>
        </w:tc>
        <w:tc>
          <w:tcPr>
            <w:tcW w:w="146" w:type="dxa"/>
            <w:tcBorders/>
            <w:shd w:fill="CFF0FC" w:val="clear"/>
            <w:vAlign w:val="center"/>
          </w:tcPr>
          <w:p>
            <w:pPr>
              <w:pStyle w:val="TableContents"/>
              <w:bidi w:val="0"/>
              <w:spacing w:before="0" w:after="283"/>
              <w:jc w:val="left"/>
              <w:rPr/>
            </w:pPr>
            <w:r>
              <w:rPr/>
              <w:t> </w:t>
            </w:r>
          </w:p>
        </w:tc>
        <w:tc>
          <w:tcPr>
            <w:tcW w:w="12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Sale</w:t>
            </w:r>
          </w:p>
        </w:tc>
        <w:tc>
          <w:tcPr>
            <w:tcW w:w="146" w:type="dxa"/>
            <w:tcBorders/>
            <w:shd w:fill="CFF0FC" w:val="clear"/>
            <w:vAlign w:val="center"/>
          </w:tcPr>
          <w:p>
            <w:pPr>
              <w:pStyle w:val="TableContents"/>
              <w:bidi w:val="0"/>
              <w:spacing w:before="0" w:after="283"/>
              <w:jc w:val="left"/>
              <w:rPr/>
            </w:pPr>
            <w:r>
              <w:rPr/>
              <w:t> </w:t>
            </w:r>
          </w:p>
        </w:tc>
        <w:tc>
          <w:tcPr>
            <w:tcW w:w="2696" w:type="dxa"/>
            <w:gridSpan w:val="2"/>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Until 2/28/2025, or such earlier date upon which all transactions are completed or expire without execution</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5" w:type="dxa"/>
            <w:gridSpan w:val="2"/>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Up to 150,000</w:t>
            </w:r>
            <w:r>
              <w:rPr>
                <w:rFonts w:ascii="Times New Roman" w:hAnsi="Times New Roman"/>
                <w:color w:val="000000"/>
                <w:sz w:val="20"/>
              </w:rPr>
              <w:t> </w:t>
            </w:r>
            <w:r>
              <w:rPr>
                <w:rFonts w:ascii="Times New Roman" w:hAnsi="Times New Roman"/>
                <w:color w:val="000000"/>
                <w:sz w:val="18"/>
              </w:rPr>
              <w:t>shares</w:t>
            </w:r>
          </w:p>
        </w:tc>
        <w:tc>
          <w:tcPr>
            <w:tcW w:w="215" w:type="dxa"/>
            <w:tcBorders/>
            <w:shd w:fill="CFF0FC" w:val="clear"/>
            <w:vAlign w:val="center"/>
          </w:tcPr>
          <w:p>
            <w:pPr>
              <w:pStyle w:val="TableContents"/>
              <w:bidi w:val="0"/>
              <w:spacing w:before="0" w:after="283"/>
              <w:jc w:val="left"/>
              <w:rPr/>
            </w:pPr>
            <w:r>
              <w:rPr/>
              <w:t> </w:t>
            </w:r>
          </w:p>
        </w:tc>
      </w:tr>
      <w:tr>
        <w:trPr/>
        <w:tc>
          <w:tcPr>
            <w:tcW w:w="1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Pascal Deschatelets</w:t>
              <w:br/>
              <w:t>Chief Scientific Officer</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Adoption</w:t>
            </w:r>
            <w:r>
              <w:rPr>
                <w:rFonts w:ascii="Times New Roman" w:hAnsi="Times New Roman"/>
                <w:color w:val="000000"/>
                <w:sz w:val="20"/>
              </w:rPr>
              <w:t xml:space="preserve"> </w:t>
            </w:r>
            <w:r>
              <w:rPr>
                <w:rFonts w:ascii="Times New Roman" w:hAnsi="Times New Roman"/>
                <w:color w:val="000000"/>
                <w:sz w:val="18"/>
              </w:rPr>
              <w:br/>
              <w:t>12/03/2023</w:t>
            </w:r>
          </w:p>
        </w:tc>
        <w:tc>
          <w:tcPr>
            <w:tcW w:w="146"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Rule 10b5-1 trading arrangement</w:t>
            </w:r>
          </w:p>
        </w:tc>
        <w:tc>
          <w:tcPr>
            <w:tcW w:w="146"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Sale</w:t>
            </w:r>
          </w:p>
        </w:tc>
        <w:tc>
          <w:tcPr>
            <w:tcW w:w="146" w:type="dxa"/>
            <w:tcBorders/>
            <w:shd w:fill="FFFFFF" w:val="clear"/>
            <w:vAlign w:val="center"/>
          </w:tcPr>
          <w:p>
            <w:pPr>
              <w:pStyle w:val="TableContents"/>
              <w:bidi w:val="0"/>
              <w:spacing w:before="0" w:after="283"/>
              <w:jc w:val="left"/>
              <w:rPr/>
            </w:pPr>
            <w:r>
              <w:rPr/>
              <w:t> </w:t>
            </w:r>
          </w:p>
        </w:tc>
        <w:tc>
          <w:tcPr>
            <w:tcW w:w="2696" w:type="dxa"/>
            <w:gridSpan w:val="2"/>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Until 9/09/2024, or such earlier date upon which all transactions are completed or expire without execution</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2"/>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Up to 296,028</w:t>
            </w:r>
            <w:r>
              <w:rPr>
                <w:rFonts w:ascii="Times New Roman" w:hAnsi="Times New Roman"/>
                <w:color w:val="000000"/>
                <w:sz w:val="20"/>
              </w:rPr>
              <w:t> </w:t>
            </w:r>
            <w:r>
              <w:rPr>
                <w:rFonts w:ascii="Times New Roman" w:hAnsi="Times New Roman"/>
                <w:color w:val="000000"/>
                <w:sz w:val="18"/>
              </w:rPr>
              <w:t>shares</w:t>
            </w:r>
          </w:p>
        </w:tc>
        <w:tc>
          <w:tcPr>
            <w:tcW w:w="215"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This trading plan related to 67,000 shares of our common stock and had a scheduled expiration date of 12/27/2024.</w:t>
      </w:r>
    </w:p>
    <w:p>
      <w:pPr>
        <w:pStyle w:val="TextBody"/>
        <w:bidi w:val="0"/>
        <w:spacing w:before="240" w:after="240"/>
        <w:jc w:val="left"/>
        <w:rPr>
          <w:rFonts w:ascii="Times New Roman" w:hAnsi="Times New Roman"/>
          <w:sz w:val="20"/>
        </w:rPr>
      </w:pPr>
      <w:bookmarkStart w:id="25" w:name="item_9c_disclosure_regarding_foreign_jur"/>
      <w:bookmarkEnd w:id="25"/>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6" w:name="part_iii"/>
      <w:bookmarkEnd w:id="26"/>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7" w:name="item_10_directors_executive_ficers_corpo"/>
      <w:bookmarkEnd w:id="27"/>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required by this item will be contained in our definitive proxy statement to be filed with the Securities and Exchange Commission on Schedule 14A in connection with our 2024 Annual Meeting of Stockholders, or the Proxy Statement, which we intend to file not later than 120 days after the end of our fiscal year ended December 31, 2023, under the headings “Information about our Executive Officers,” “Election of Directors,” “Corporate Governance,” and “ Delinquent Section 16(a) Reports,” and is incorporated in this Annual Report on Form 10-K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Code of Business Conduct and Ethics that applies to our officers, directors and employees, including our principal executive officer, principal financial officer, principal accounting officer or controller, or persons performing similar functions, which is available on our website at www.apellis.com. The Code of Business Conduct and Ethics is intended to qualify as a “code of ethics” within the meaning of Section 406 of the Sarbanes-Oxley Act of 2002 and Item 406 of Regulation S-K. In addition, we intend to promptly disclose the nature of any amendment to our Code of Business Conduct and Ethics or any waiver from our Code of Business Conduct and Ethics granted to any officer or director on our website or in a current report on Form 8-K.</w:t>
      </w:r>
    </w:p>
    <w:p>
      <w:pPr>
        <w:pStyle w:val="TextBody"/>
        <w:bidi w:val="0"/>
        <w:spacing w:before="360" w:after="283"/>
        <w:jc w:val="left"/>
        <w:rPr>
          <w:rFonts w:ascii="Times New Roman" w:hAnsi="Times New Roman"/>
          <w:b/>
          <w:color w:val="000000"/>
          <w:sz w:val="20"/>
        </w:rPr>
      </w:pPr>
      <w:bookmarkStart w:id="28" w:name="item_11_executive_compensation"/>
      <w:bookmarkEnd w:id="28"/>
      <w:r>
        <w:rPr>
          <w:rFonts w:ascii="Times New Roman" w:hAnsi="Times New Roman"/>
          <w:b/>
          <w:color w:val="000000"/>
          <w:sz w:val="20"/>
        </w:rPr>
        <w:t>Item 11. Executive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regarding executive compensation will be set forth in the sections titled “Executive Compensation” and “Director Compensation” in our Proxy Statement and, other than the information required by Item 402(v) of Regulation S-K, is incorporated in this Annual Report on Form 10-K by reference.</w:t>
      </w:r>
    </w:p>
    <w:p>
      <w:pPr>
        <w:pStyle w:val="TextBody"/>
        <w:bidi w:val="0"/>
        <w:spacing w:before="360" w:after="283"/>
        <w:jc w:val="left"/>
        <w:rPr>
          <w:rFonts w:ascii="Times New Roman" w:hAnsi="Times New Roman"/>
          <w:sz w:val="20"/>
        </w:rPr>
      </w:pPr>
      <w:bookmarkStart w:id="29" w:name="item_12_security_ownership_certain_benef"/>
      <w:bookmarkEnd w:id="29"/>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regarding security ownership of certain beneficial owners and management will be set forth in the sections titled “Security Ownership of Certain Beneficial Owners and Management” and “Equity Compensation Plan Information” in our Proxy Statement and is incorporated in this Annual Report on Form 10-K by reference.</w:t>
      </w:r>
    </w:p>
    <w:p>
      <w:pPr>
        <w:pStyle w:val="TextBody"/>
        <w:bidi w:val="0"/>
        <w:spacing w:before="360" w:after="283"/>
        <w:jc w:val="left"/>
        <w:rPr>
          <w:rFonts w:ascii="Times New Roman" w:hAnsi="Times New Roman"/>
          <w:b/>
          <w:color w:val="000000"/>
          <w:sz w:val="20"/>
        </w:rPr>
      </w:pPr>
      <w:bookmarkStart w:id="30" w:name="item_13_certain_relationships_related_tr"/>
      <w:bookmarkEnd w:id="30"/>
      <w:r>
        <w:rPr>
          <w:rFonts w:ascii="Times New Roman" w:hAnsi="Times New Roman"/>
          <w:b/>
          <w:color w:val="000000"/>
          <w:sz w:val="20"/>
        </w:rPr>
        <w:t>Item 13. Certain Relationships and Related Transactions, and Director Independence.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regarding certain relationships and related transactions and director independence will be set forth in the sections titled “Certain Relationships and Related Party Transactions,” “Election of Directors,” and “Corporate Governance,” respectively, in our Proxy Statement and is incorporated in this Annual Report on Form 10-K by reference.</w:t>
      </w:r>
    </w:p>
    <w:p>
      <w:pPr>
        <w:pStyle w:val="TextBody"/>
        <w:bidi w:val="0"/>
        <w:spacing w:before="360" w:after="283"/>
        <w:jc w:val="left"/>
        <w:rPr>
          <w:rFonts w:ascii="Times New Roman" w:hAnsi="Times New Roman"/>
          <w:b/>
          <w:color w:val="000000"/>
          <w:sz w:val="20"/>
        </w:rPr>
      </w:pPr>
      <w:bookmarkStart w:id="31" w:name="item_14_principal_accounting_fees_servic"/>
      <w:bookmarkEnd w:id="31"/>
      <w:r>
        <w:rPr>
          <w:rFonts w:ascii="Times New Roman" w:hAnsi="Times New Roman"/>
          <w:b/>
          <w:color w:val="000000"/>
          <w:sz w:val="20"/>
        </w:rPr>
        <w:t>Item 14. Principal Accountant Fees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regarding principal accountant fees and services will be set forth in the section titled “Principal Accountant Fees and Services” in our Proxy Statement and is incorporated in this Annual Report on Form 10-K by reference.</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32" w:name="part_iv"/>
      <w:bookmarkEnd w:id="32"/>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33" w:name="item15"/>
      <w:bookmarkEnd w:id="33"/>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Documents filed as a part of this Report:</w:t>
      </w:r>
    </w:p>
    <w:p>
      <w:pPr>
        <w:pStyle w:val="TextBody"/>
        <w:bidi w:val="0"/>
        <w:spacing w:before="120" w:after="283"/>
        <w:jc w:val="left"/>
        <w:rPr>
          <w:rFonts w:ascii="Times New Roman" w:hAnsi="Times New Roman"/>
          <w:sz w:val="20"/>
        </w:rPr>
      </w:pPr>
      <w:r>
        <w:rPr>
          <w:rFonts w:ascii="Times New Roman" w:hAnsi="Times New Roman"/>
          <w:b/>
          <w:color w:val="000000"/>
          <w:sz w:val="20"/>
        </w:rPr>
        <w:t>(1) Financial Statements</w:t>
      </w:r>
      <w:r>
        <w:rPr>
          <w:rFonts w:ascii="Times New Roman" w:hAnsi="Times New Roman"/>
          <w:color w:val="000000"/>
          <w:sz w:val="20"/>
        </w:rPr>
        <w:t>—Included in Item 8 of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93"/>
        <w:gridCol w:w="146"/>
        <w:gridCol w:w="466"/>
      </w:tblGrid>
      <w:tr>
        <w:trPr/>
        <w:tc>
          <w:tcPr>
            <w:tcW w:w="9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593"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34)</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95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Financial Statements as of and for the years ended December 31, 2023 and 2022 and for each of the three years in the period ended December 31, 2023:</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 </w:t>
            </w:r>
          </w:p>
        </w:tc>
      </w:tr>
      <w:tr>
        <w:trPr/>
        <w:tc>
          <w:tcPr>
            <w:tcW w:w="9593"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202</w:t>
              </w:r>
            </w:hyperlink>
            <w:r>
              <w:rPr>
                <w:rFonts w:ascii="Times New Roman" w:hAnsi="Times New Roman"/>
                <w:color w:val="000000"/>
                <w:sz w:val="20"/>
              </w:rPr>
              <w:t>2</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9593" w:type="dxa"/>
            <w:tcBorders/>
            <w:vAlign w:val="center"/>
          </w:tcPr>
          <w:p>
            <w:pPr>
              <w:pStyle w:val="TableContents"/>
              <w:bidi w:val="0"/>
              <w:spacing w:before="0" w:after="283"/>
              <w:jc w:val="both"/>
              <w:rPr/>
            </w:pPr>
            <w:hyperlink w:anchor="consolidated_statements_operations_compr">
              <w:r>
                <w:rPr>
                  <w:rStyle w:val="InternetLink"/>
                  <w:rFonts w:ascii="Times New Roman" w:hAnsi="Times New Roman"/>
                  <w:color w:val="0000FF"/>
                  <w:sz w:val="20"/>
                  <w:u w:val="single"/>
                </w:rPr>
                <w:t>Consolidated Statements of Operations and Comprehensive Loss for the years ended December 31, 2023, 2023 and 2021</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9593" w:type="dxa"/>
            <w:tcBorders/>
            <w:vAlign w:val="center"/>
          </w:tcPr>
          <w:p>
            <w:pPr>
              <w:pStyle w:val="TableContents"/>
              <w:bidi w:val="0"/>
              <w:spacing w:before="0" w:after="283"/>
              <w:jc w:val="left"/>
              <w:rPr/>
            </w:pPr>
            <w:hyperlink w:anchor="consolidated_statements_changes_in_stock">
              <w:r>
                <w:rPr>
                  <w:rStyle w:val="InternetLink"/>
                  <w:rFonts w:ascii="Times New Roman" w:hAnsi="Times New Roman"/>
                  <w:color w:val="0000FF"/>
                  <w:sz w:val="20"/>
                  <w:u w:val="single"/>
                </w:rPr>
                <w:t>Consolidated Statements of Changes in Stockholders’ Equity for the period from January 1, 2021 to December 31, 202</w:t>
              </w:r>
            </w:hyperlink>
            <w:r>
              <w:rPr>
                <w:rFonts w:ascii="Times New Roman" w:hAnsi="Times New Roman"/>
                <w:color w:val="000000"/>
                <w:sz w:val="20"/>
              </w:rPr>
              <w:t>3</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9593"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2022 and 2021</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r>
      <w:tr>
        <w:trPr/>
        <w:tc>
          <w:tcPr>
            <w:tcW w:w="9593"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financial statement schedules have been filed as part of this Annual Report on Form 10-K because they are not applicable, not required or the required information is otherwise included in our consolidated financial statements or notes thereto.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Index to Exhibits.</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7"/>
        <w:gridCol w:w="4351"/>
        <w:gridCol w:w="646"/>
        <w:gridCol w:w="1005"/>
        <w:gridCol w:w="854"/>
        <w:gridCol w:w="1090"/>
        <w:gridCol w:w="1202"/>
      </w:tblGrid>
      <w:tr>
        <w:trPr/>
        <w:tc>
          <w:tcPr>
            <w:tcW w:w="1057"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10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51" w:type="dxa"/>
            <w:vMerge w:val="restart"/>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Description of Exhibit</w:t>
            </w:r>
          </w:p>
        </w:tc>
        <w:tc>
          <w:tcPr>
            <w:tcW w:w="3595" w:type="dxa"/>
            <w:gridSpan w:val="4"/>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Incorporated by Reference</w:t>
            </w:r>
          </w:p>
        </w:tc>
        <w:tc>
          <w:tcPr>
            <w:tcW w:w="1202" w:type="dxa"/>
            <w:tcBorders>
              <w:bottom w:val="single" w:sz="16"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057"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Exhibit Number</w:t>
            </w:r>
          </w:p>
        </w:tc>
        <w:tc>
          <w:tcPr>
            <w:tcW w:w="4351" w:type="dxa"/>
            <w:vMerge w:val="continue"/>
            <w:tcBorders>
              <w:bottom w:val="single" w:sz="16" w:space="0" w:color="000000"/>
            </w:tcBorders>
            <w:tcMar>
              <w:top w:w="0" w:type="dxa"/>
              <w:left w:w="0" w:type="dxa"/>
              <w:right w:w="0" w:type="dxa"/>
            </w:tcMar>
            <w:vAlign w:val="center"/>
          </w:tcPr>
          <w:p>
            <w:pPr>
              <w:pStyle w:val="Normal"/>
              <w:bidi w:val="0"/>
              <w:jc w:val="left"/>
              <w:rPr/>
            </w:pPr>
            <w:r>
              <w:rPr/>
            </w:r>
          </w:p>
        </w:tc>
        <w:tc>
          <w:tcPr>
            <w:tcW w:w="646"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Form</w:t>
            </w:r>
          </w:p>
        </w:tc>
        <w:tc>
          <w:tcPr>
            <w:tcW w:w="1005"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File Number</w:t>
            </w:r>
          </w:p>
        </w:tc>
        <w:tc>
          <w:tcPr>
            <w:tcW w:w="854"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Date of Filing</w:t>
            </w:r>
          </w:p>
        </w:tc>
        <w:tc>
          <w:tcPr>
            <w:tcW w:w="1090"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Exhibit Number</w:t>
            </w:r>
          </w:p>
        </w:tc>
        <w:tc>
          <w:tcPr>
            <w:tcW w:w="1202" w:type="dxa"/>
            <w:tcBorders>
              <w:bottom w:val="single" w:sz="1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Filed Herewith</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2.1*</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Asset Purchase Agreement</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2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3.1</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Restated Certificate of Incorporation of the Registrant</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11/13/2017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3.2</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the Registrant</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11/13/2017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4.1</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Specimen Stock Certificate evidencing the shares of common stock</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4.2</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Investors’ Rights Agreement dated as of August 7, 2017, among the Registrant and the other parties thereto</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4.3</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Indenture (including form of Note), dated as of September 16, 2019, by and between Apellis Pharmaceuticals, Inc. and U.S. Bank National Association, as trustee</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9/16/2019</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4.4</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Description of Securities Registered Under Section 12 of the Exchange Act</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2/28/2022</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4.5</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Pre-Funded Warrant</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2/24/2023</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2010 Equity Incentive Plan, as amended</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Incentive Stock Option Grant Notice and Agreement under 2010 Equity Incentive Plan</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10.3+</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Nonstatutory Stock Option Grant Notice and Agreement under 2010 Equity Incentive Plan</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10.4+</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2017 Stock Incentive Plan</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10.5+</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Incentive Stock Option Agreement under 2017 Stock Incentive Plan</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10.6+</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Nonstatutory Stock Option Agreement under 2017 Stock Incentive Plan</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10.7+</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Director and Officer Indemnification Agreement</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10.8</w:t>
            </w:r>
          </w:p>
        </w:tc>
        <w:tc>
          <w:tcPr>
            <w:tcW w:w="4351"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Patent License Agreement, dated as of March 28, 2008, by and between Apellis AG and The Trustees of the</w:t>
              </w:r>
            </w:hyperlink>
            <w:hyperlink r:id="rId21">
              <w:r>
                <w:rPr>
                  <w:rStyle w:val="InternetLink"/>
                  <w:rFonts w:ascii="Times New Roman" w:hAnsi="Times New Roman"/>
                  <w:color w:val="0000FF"/>
                  <w:sz w:val="20"/>
                </w:rPr>
                <w:t xml:space="preserve"> </w:t>
              </w:r>
            </w:hyperlink>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10/13/2017</w:t>
            </w:r>
          </w:p>
        </w:tc>
        <w:tc>
          <w:tcPr>
            <w:tcW w:w="10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20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08"/>
        <w:gridCol w:w="6959"/>
        <w:gridCol w:w="417"/>
        <w:gridCol w:w="816"/>
        <w:gridCol w:w="641"/>
        <w:gridCol w:w="571"/>
        <w:gridCol w:w="193"/>
      </w:tblGrid>
      <w:tr>
        <w:trPr/>
        <w:tc>
          <w:tcPr>
            <w:tcW w:w="608" w:type="dxa"/>
            <w:tcBorders/>
            <w:vAlign w:val="center"/>
          </w:tcPr>
          <w:p>
            <w:pPr>
              <w:pStyle w:val="TableContents"/>
              <w:bidi w:val="0"/>
              <w:spacing w:before="0" w:after="283"/>
              <w:jc w:val="left"/>
              <w:rPr>
                <w:sz w:val="4"/>
                <w:szCs w:val="4"/>
              </w:rPr>
            </w:pPr>
            <w:r>
              <w:rPr>
                <w:sz w:val="4"/>
                <w:szCs w:val="4"/>
              </w:rPr>
            </w:r>
          </w:p>
        </w:tc>
        <w:tc>
          <w:tcPr>
            <w:tcW w:w="69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University of Pennsylvania, as assigned to the Registrant</w:t>
              </w:r>
            </w:hyperlink>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10.9</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Amended and Restated Patent License Agreement, dated as of March 28, 2008, by and between Potentia Pharmaceuticals, Inc. and The Trustees of the University of Pennsylvania, as amended by the First Amendment to the Amended and Restated Patent License Agreement, dated as of October 14, 2009 and as assigned to the Registrant</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10/13/2017</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10.10</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Summary of Non-Employee Director Compensation Program</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2/28/2022</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10.11</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Lease, dated as of April 27, 2017, by and between the Registrant and NWALP PHOP Property Owner, LLC</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10/13/2017</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10.12+</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2017 Employee Stock Purchase Plan</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10/30/2017</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10.13+</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Offer Letter, dated as of October 9, 2017, by and between the Registrant and Timothy Sullivan</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333-220941</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10/20/2017</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10.14</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First Amendment to Lease, dated July 25, 2018, by and between Registrant and NWALP PHOP Property Owner LLC.</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7/31/2018</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10.15</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Second Amendment to Lease, dated June 5, 2019, by and between Registrant and NWALP PHOP Property Owner LLC.</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7/31/2019</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10.16</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Third Amendment to Lease, dated September 25, 2019, by and between Registrant and NWALP PHOP Property Owner LLC.</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11/5/2019</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10.17</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Fourth Amendment to Lease, dated November 13, 2020, by and between Registrant and NWALP PHOP Property Owner LLC.</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2/25/2020</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10.18</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Development Funding Agreement, dated as of February 28, 2019, by and between the Registrant and SFJ Pharmaceuticals XI, L.P.</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5/7/2019</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10.19</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Amendment, dated as of June 7, 2019, to the Development Funding Agreement, dated as of February 28, 2019 by and between the Registrant and SFJ Pharmaceuticals XI, L.P.</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7/31/2019</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10.20</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Standard Office Lease, dated as of March 29, 2019, by and between the Registrant and Geary-Market Investment Company, Ltd.</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5/7/2019</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10.21</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Capped Call Transaction Confirmation</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5/7/2020</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10.22+</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Amendment No. 1 to 2017 Employee Stock Purchase Plan</w:t>
              </w:r>
            </w:hyperlink>
            <w:hyperlink r:id="rId37">
              <w:r>
                <w:rPr>
                  <w:rStyle w:val="InternetLink"/>
                  <w:rFonts w:ascii="Times New Roman" w:hAnsi="Times New Roman"/>
                  <w:color w:val="0000FF"/>
                  <w:sz w:val="20"/>
                </w:rPr>
                <w:t xml:space="preserve"> </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11/2/2020</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10.23</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Collaboration and License Agreement, dated October 27, 2020, by and among, the Registrant, Apellis Switzerland GmbH, APL DEL holdings, LLC and Swedish Orphan Biovitrum AB (publ)</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2/25/2020</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10.24</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Commercial Supply Agreement, dated December 30, 2020, by and between the Registrant and Bachem Americas, Inc.</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2/25/2020</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10.25</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Sales Agreement, dated as of November 1, 2023 by and between Apellis Pharmaceuticals, Inc. and Cowen and Company, LLC.</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11/01/2023</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10.26</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Amended and Restated Commercial Supply Agreement, dated March 10, 2021, by and between the Registrant, Apellis Switzerland GmbH and NOF Corporation</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4/28/2022</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10.27</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Inducement Stock Incentive Plan</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333-236710</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2/27/2020</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10.28+</w:t>
            </w:r>
          </w:p>
        </w:tc>
        <w:tc>
          <w:tcPr>
            <w:tcW w:w="6959"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Offer Letter, dated as of December 25, 2022, by and between the Registrant and Caroline Baumal</w:t>
              </w:r>
            </w:hyperlink>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2/27/2024</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9"/>
        <w:gridCol w:w="6790"/>
        <w:gridCol w:w="424"/>
        <w:gridCol w:w="765"/>
        <w:gridCol w:w="682"/>
        <w:gridCol w:w="571"/>
        <w:gridCol w:w="274"/>
      </w:tblGrid>
      <w:tr>
        <w:trPr/>
        <w:tc>
          <w:tcPr>
            <w:tcW w:w="699" w:type="dxa"/>
            <w:tcBorders/>
            <w:vAlign w:val="center"/>
          </w:tcPr>
          <w:p>
            <w:pPr>
              <w:pStyle w:val="TableContents"/>
              <w:bidi w:val="0"/>
              <w:spacing w:before="0" w:after="283"/>
              <w:jc w:val="left"/>
              <w:rPr>
                <w:sz w:val="4"/>
                <w:szCs w:val="4"/>
              </w:rPr>
            </w:pPr>
            <w:r>
              <w:rPr>
                <w:sz w:val="4"/>
                <w:szCs w:val="4"/>
              </w:rPr>
            </w:r>
          </w:p>
        </w:tc>
        <w:tc>
          <w:tcPr>
            <w:tcW w:w="679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10.30+</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Offer Letter, dated as of November 16, 2018, by and between the Registrant and Adam Townsend</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2/28/2022</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2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10.31</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Exchange Agreement</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7/8/2021</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10.32</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Restricted Stock Unit Agreement under the 2017 Stock Incentive Plan</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2/21/2023</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2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21.1</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Subsidiaries of the Registrant</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2/27/2024</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23.2</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w:anchor="apls-ex23_2.htm">
              <w:r>
                <w:rPr>
                  <w:rStyle w:val="InternetLink"/>
                  <w:rFonts w:ascii="Times New Roman" w:hAnsi="Times New Roman"/>
                  <w:color w:val="0000FF"/>
                  <w:sz w:val="20"/>
                  <w:u w:val="single"/>
                </w:rPr>
                <w:t>Consent of Deloitte &amp; Touche LLP</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31.3</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w:anchor="apls-ex31_3.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31.4</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w:anchor="apls-ex31_4.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32.3</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w:anchor="apls-ex32_3.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32.4</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w:anchor="apls-ex32_4.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97.1</w:t>
            </w:r>
          </w:p>
        </w:tc>
        <w:tc>
          <w:tcPr>
            <w:tcW w:w="6790"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Dodd-Frank Compensation Recovery Policy</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001-38276</w:t>
            </w:r>
          </w:p>
        </w:tc>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2/27/2024</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101.INS</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 xml:space="preserve">101.SCH </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101.CAL</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101.DEF</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101.LAB</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101.PRE</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104</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Pursuant to Item 601(b)(2) of Regulation S-K, the Registrant agrees to furnish supplementally a copy of any omitted schedule or exhibit to the Asset Purchase Agreement to the Securities and Exchange Commission upon request.</w:t>
      </w:r>
    </w:p>
    <w:p>
      <w:pPr>
        <w:pStyle w:val="TextBody"/>
        <w:bidi w:val="0"/>
        <w:jc w:val="left"/>
        <w:rPr>
          <w:rFonts w:ascii="Times New Roman" w:hAnsi="Times New Roman"/>
          <w:color w:val="000000"/>
          <w:sz w:val="20"/>
        </w:rPr>
      </w:pPr>
      <w:r>
        <w:rPr>
          <w:rFonts w:ascii="Times New Roman" w:hAnsi="Times New Roman"/>
          <w:color w:val="000000"/>
          <w:sz w:val="20"/>
        </w:rPr>
        <w:t> Confidential treatment has been granted as to certain portions, which portions have been omitted and separately filed with the Securities and Exchange Commission.</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have been omitted pursuant to Item 601(b)(10)(iv) of Regulation S-K.</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herewith.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36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562" w:type="dxa"/>
        <w:jc w:val="left"/>
        <w:tblInd w:w="0" w:type="dxa"/>
        <w:tblLayout w:type="fixed"/>
        <w:tblCellMar>
          <w:top w:w="28" w:type="dxa"/>
          <w:left w:w="28" w:type="dxa"/>
          <w:bottom w:w="28" w:type="dxa"/>
          <w:right w:w="28" w:type="dxa"/>
        </w:tblCellMar>
      </w:tblPr>
      <w:tblGrid>
        <w:gridCol w:w="2086"/>
        <w:gridCol w:w="109"/>
        <w:gridCol w:w="406"/>
        <w:gridCol w:w="396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Cedric Francois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Cedric Francois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apls-ex23_2.htm"/>
      <w:bookmarkStart w:id="35" w:name="ksaplsex23_2"/>
      <w:bookmarkEnd w:id="34"/>
      <w:bookmarkEnd w:id="35"/>
      <w:r>
        <w:rPr>
          <w:rFonts w:ascii="Times New Roman" w:hAnsi="Times New Roman"/>
          <w:b/>
          <w:color w:val="000000"/>
          <w:sz w:val="20"/>
        </w:rPr>
        <w:t>Exhibit 23.2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Registration Statement Nos. 333-269899, 333-235830 and 333-229091 on Form S-3 and Registration Statement Nos. 333-229876, 333-221528, 333-236708, 333-236710, 333-253518, 333-263100, 333-269888 and 333-277381 on Form S-8 of our reports dated February 27, 2024, relating to the financial statements of Apellis Pharmaceuticals, Inc. and its subsidiaries and the effectiveness of Apellis Pharmaceuticals, Inc. and its subsidiaries’ internal control over financial reporting appearing in this Annual Report on Form 10-K for the year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Massachusetts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February 29,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apls-ex31_3.htm"/>
      <w:bookmarkStart w:id="37" w:name="ksaplsex31_3"/>
      <w:bookmarkEnd w:id="36"/>
      <w:bookmarkEnd w:id="37"/>
      <w:r>
        <w:rPr>
          <w:rFonts w:ascii="Times New Roman" w:hAnsi="Times New Roman"/>
          <w:b/>
          <w:color w:val="000000"/>
          <w:sz w:val="20"/>
        </w:rPr>
        <w:t>Exhibit 31.3</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Cedric Francois,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Annual Report on Form 10-K/A for the year ended December 31, 2023 of Apellis Pharmaceuticals,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Cedric Francois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Cedric Francois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apls-ex31_4.htm"/>
      <w:bookmarkStart w:id="39" w:name="ksaplsex31_4"/>
      <w:bookmarkEnd w:id="38"/>
      <w:bookmarkEnd w:id="39"/>
      <w:r>
        <w:rPr>
          <w:rFonts w:ascii="Times New Roman" w:hAnsi="Times New Roman"/>
          <w:b/>
          <w:color w:val="000000"/>
          <w:sz w:val="20"/>
        </w:rPr>
        <w:t>Exhibit 31.4</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Timothy E. Sullivan,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Annual Report on Form 10-K/A for the year ended December 31, 2023 of Apellis Pharmaceuticals,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086"/>
        <w:gridCol w:w="109"/>
        <w:gridCol w:w="406"/>
        <w:gridCol w:w="337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Timothy E. Sullivan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Timothy E. Sullivan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apls-ex32_3.htm"/>
      <w:bookmarkStart w:id="41" w:name="ksaplsex32_3"/>
      <w:bookmarkEnd w:id="40"/>
      <w:bookmarkEnd w:id="41"/>
      <w:r>
        <w:rPr>
          <w:rFonts w:ascii="Times New Roman" w:hAnsi="Times New Roman"/>
          <w:b/>
          <w:color w:val="000000"/>
          <w:sz w:val="20"/>
        </w:rPr>
        <w:t>Exhibit 32.3</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Apellis Pharmaceuticals, Inc. (the “Company”) on Form 10-K/A for the year ending December 31, 2023 as filed with the Securities and Exchange Commission on the date hereof (the “Report”), the undersigned, Cedric Francois, the Chief Executive Officer and President of the Company, hereby certifies, pursuant to 18 U.S.C. § 1350, as adopted pursuant to § 906 of the Sarbanes-Oxley Act of 2002,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Cedric Francois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Cedric Francois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apls-ex32_4.htm"/>
      <w:bookmarkStart w:id="43" w:name="ksaplsex32_4"/>
      <w:bookmarkEnd w:id="42"/>
      <w:bookmarkEnd w:id="43"/>
      <w:r>
        <w:rPr>
          <w:rFonts w:ascii="Times New Roman" w:hAnsi="Times New Roman"/>
          <w:b/>
          <w:color w:val="000000"/>
          <w:sz w:val="20"/>
        </w:rPr>
        <w:t>Exhibit 32.4</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Apellis Pharmaceuticals, Inc. (the “Company”) on Form 10-K/A for the year ending December 31, 2023 as filed with the Securities and Exchange Commission on the date hereof (the “Report”), the undersigned, Timothy Sullivan, Chief Financial Officer and Treasurer of the Company, hereby certifies, pursuant to 18 U.S.C. § 1350, as adopted pursuant to § 906 of the Sarbanes-Oxley Act of 2002,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086"/>
        <w:gridCol w:w="109"/>
        <w:gridCol w:w="406"/>
        <w:gridCol w:w="337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Timothy E. Sullivan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Timothy E. Sullivan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492422/000119312517309813/d445089dex21.htm" TargetMode="External"/><Relationship Id="rId6" Type="http://schemas.openxmlformats.org/officeDocument/2006/relationships/hyperlink" Target="https://www.sec.gov/Archives/edgar/data/1492422/000119312517340923/d493537dex31.htm" TargetMode="External"/><Relationship Id="rId7" Type="http://schemas.openxmlformats.org/officeDocument/2006/relationships/hyperlink" Target="https://www.sec.gov/Archives/edgar/data/1492422/000119312517340923/d493537dex32.htm" TargetMode="External"/><Relationship Id="rId8" Type="http://schemas.openxmlformats.org/officeDocument/2006/relationships/hyperlink" Target="https://www.sec.gov/Archives/edgar/data/1492422/000119312517323102/d445089dex41.htm" TargetMode="External"/><Relationship Id="rId9" Type="http://schemas.openxmlformats.org/officeDocument/2006/relationships/hyperlink" Target="https://www.sec.gov/Archives/edgar/data/1492422/000119312517309813/d445089dex42.htm" TargetMode="External"/><Relationship Id="rId10" Type="http://schemas.openxmlformats.org/officeDocument/2006/relationships/hyperlink" Target="https://www.sec.gov/Archives/edgar/data/1492422/000119312519245912/d802733dex41.htm" TargetMode="External"/><Relationship Id="rId11" Type="http://schemas.openxmlformats.org/officeDocument/2006/relationships/hyperlink" Target="https://www.sec.gov/Archives/edgar/data/1492422/000156459022007606/apls-ex44_16.htm" TargetMode="External"/><Relationship Id="rId12" Type="http://schemas.openxmlformats.org/officeDocument/2006/relationships/hyperlink" Target="https://www.sec.gov/Archives/edgar/data/1492422/000119312523047759/d454389dex41.htm" TargetMode="External"/><Relationship Id="rId13" Type="http://schemas.openxmlformats.org/officeDocument/2006/relationships/hyperlink" Target="https://www.sec.gov/Archives/edgar/data/1492422/000119312517309813/d445089dex101.htm" TargetMode="External"/><Relationship Id="rId14" Type="http://schemas.openxmlformats.org/officeDocument/2006/relationships/hyperlink" Target="https://www.sec.gov/Archives/edgar/data/1492422/000119312517309813/d445089dex102.htm" TargetMode="External"/><Relationship Id="rId15" Type="http://schemas.openxmlformats.org/officeDocument/2006/relationships/hyperlink" Target="https://www.sec.gov/Archives/edgar/data/1492422/000119312517309813/d445089dex103.htm" TargetMode="External"/><Relationship Id="rId16" Type="http://schemas.openxmlformats.org/officeDocument/2006/relationships/hyperlink" Target="https://www.sec.gov/Archives/edgar/data/1492422/000119312517324222/d445089dex104.htm" TargetMode="External"/><Relationship Id="rId17" Type="http://schemas.openxmlformats.org/officeDocument/2006/relationships/hyperlink" Target="https://www.sec.gov/Archives/edgar/data/1492422/000119312517323102/d445089dex105.htm" TargetMode="External"/><Relationship Id="rId18" Type="http://schemas.openxmlformats.org/officeDocument/2006/relationships/hyperlink" Target="https://www.sec.gov/Archives/edgar/data/1492422/000119312517323102/d445089dex106.htm" TargetMode="External"/><Relationship Id="rId19" Type="http://schemas.openxmlformats.org/officeDocument/2006/relationships/hyperlink" Target="https://www.sec.gov/Archives/edgar/data/1492422/000119312517323102/d445089dex107.htm" TargetMode="External"/><Relationship Id="rId20" Type="http://schemas.openxmlformats.org/officeDocument/2006/relationships/hyperlink" Target="https://www.sec.gov/Archives/edgar/data/1492422/000095012317008317/filename10.htm" TargetMode="External"/><Relationship Id="rId21" Type="http://schemas.openxmlformats.org/officeDocument/2006/relationships/hyperlink" Target="https://www.sec.gov/Archives/edgar/data/1492422/000095012317008317/filename10.htm" TargetMode="External"/><Relationship Id="rId22" Type="http://schemas.openxmlformats.org/officeDocument/2006/relationships/hyperlink" Target="https://www.sec.gov/Archives/edgar/data/1492422/000095012317008317/filename10.htm" TargetMode="External"/><Relationship Id="rId23" Type="http://schemas.openxmlformats.org/officeDocument/2006/relationships/hyperlink" Target="https://www.sec.gov/Archives/edgar/data/1492422/000119312517309813/d445089dex109.htm" TargetMode="External"/><Relationship Id="rId24" Type="http://schemas.openxmlformats.org/officeDocument/2006/relationships/hyperlink" Target="https://www.sec.gov/Archives/edgar/data/1492422/000119312517324222/d445089dex1011.htm" TargetMode="External"/><Relationship Id="rId25" Type="http://schemas.openxmlformats.org/officeDocument/2006/relationships/hyperlink" Target="https://www.sec.gov/Archives/edgar/data/1492422/000119312517309813/d445089dex1013.htm" TargetMode="External"/><Relationship Id="rId26" Type="http://schemas.openxmlformats.org/officeDocument/2006/relationships/hyperlink" Target="https://www.sec.gov/Archives/edgar/data/1492422/000119312517324222/d445089dex1015.htm" TargetMode="External"/><Relationship Id="rId27" Type="http://schemas.openxmlformats.org/officeDocument/2006/relationships/hyperlink" Target="https://www.sec.gov/Archives/edgar/data/1492422/000119312517315537/d445089dex1016.htm" TargetMode="External"/><Relationship Id="rId28" Type="http://schemas.openxmlformats.org/officeDocument/2006/relationships/hyperlink" Target="https://www.sec.gov/Archives/edgar/data/1492422/000156459018018096/apls-ex102_41.htm" TargetMode="External"/><Relationship Id="rId29" Type="http://schemas.openxmlformats.org/officeDocument/2006/relationships/hyperlink" Target="https://www.sec.gov/Archives/edgar/data/1492422/000156459019027462/apls-ex102_184.htm" TargetMode="External"/><Relationship Id="rId30" Type="http://schemas.openxmlformats.org/officeDocument/2006/relationships/hyperlink" Target="https://www.sec.gov/Archives/edgar/data/1492422/000156459019040063/apls-ex101_36.htm" TargetMode="External"/><Relationship Id="rId31" Type="http://schemas.openxmlformats.org/officeDocument/2006/relationships/hyperlink" Target="https://www.sec.gov/Archives/edgar/data/1492422/000156459021008800/apls-ex1017_217.htm" TargetMode="External"/><Relationship Id="rId32" Type="http://schemas.openxmlformats.org/officeDocument/2006/relationships/hyperlink" Target="https://www.sec.gov/Archives/edgar/data/1492422/000156459019016638/apls-ex101_221.htm" TargetMode="External"/><Relationship Id="rId33" Type="http://schemas.openxmlformats.org/officeDocument/2006/relationships/hyperlink" Target="https://www.sec.gov/Archives/edgar/data/1492422/000156459019027462/apls-ex101_11.htm" TargetMode="External"/><Relationship Id="rId34" Type="http://schemas.openxmlformats.org/officeDocument/2006/relationships/hyperlink" Target="https://www.sec.gov/Archives/edgar/data/1492422/000156459019016638/apls-ex102_113.htm" TargetMode="External"/><Relationship Id="rId35" Type="http://schemas.openxmlformats.org/officeDocument/2006/relationships/hyperlink" Target="https://www.sec.gov/Archives/edgar/data/1492422/000119312520135621/d922186dex101.htm" TargetMode="External"/><Relationship Id="rId36" Type="http://schemas.openxmlformats.org/officeDocument/2006/relationships/hyperlink" Target="https://www.sec.gov/Archives/edgar/data/1492422/000156459020049423/apls-ex102_46.htm" TargetMode="External"/><Relationship Id="rId37" Type="http://schemas.openxmlformats.org/officeDocument/2006/relationships/hyperlink" Target="https://www.sec.gov/Archives/edgar/data/1492422/000156459020049423/apls-ex102_46.htm" TargetMode="External"/><Relationship Id="rId38" Type="http://schemas.openxmlformats.org/officeDocument/2006/relationships/hyperlink" Target="https://www.sec.gov/Archives/edgar/data/1492422/000156459021008800/apls-ex1025_88.htm" TargetMode="External"/><Relationship Id="rId39" Type="http://schemas.openxmlformats.org/officeDocument/2006/relationships/hyperlink" Target="https://www.sec.gov/Archives/edgar/data/1492422/000156459021008800/apls-ex1026_87.htm" TargetMode="External"/><Relationship Id="rId40" Type="http://schemas.openxmlformats.org/officeDocument/2006/relationships/hyperlink" Target="https://www.sec.gov/Archives/edgar/data/1492422/000119312523267745/d282676dex11.htm" TargetMode="External"/><Relationship Id="rId41" Type="http://schemas.openxmlformats.org/officeDocument/2006/relationships/hyperlink" Target="https://www.sec.gov/Archives/edgar/data/1492422/000156459021021318/apls-ex101_47.htm" TargetMode="External"/><Relationship Id="rId42" Type="http://schemas.openxmlformats.org/officeDocument/2006/relationships/hyperlink" Target="https://www.sec.gov/Archives/edgar/data/1492422/000119312520052867/d896625dex991.htm" TargetMode="External"/><Relationship Id="rId43" Type="http://schemas.openxmlformats.org/officeDocument/2006/relationships/hyperlink" Target="https://www.sec.gov/Archives/edgar/data/1492422/000095017024020614/apls-ex10_28.htm" TargetMode="External"/><Relationship Id="rId44" Type="http://schemas.openxmlformats.org/officeDocument/2006/relationships/hyperlink" Target="https://www.sec.gov/Archives/edgar/data/1492422/000156459022007606/apls-ex1030_256.htm" TargetMode="External"/><Relationship Id="rId45" Type="http://schemas.openxmlformats.org/officeDocument/2006/relationships/hyperlink" Target="https://www.sec.gov/Archives/edgar/data/1492422/000119312521210295/d198376dex101.htm" TargetMode="External"/><Relationship Id="rId46" Type="http://schemas.openxmlformats.org/officeDocument/2006/relationships/hyperlink" Target="https://www.sec.gov/Archives/edgar/data/1492422/000095017023003438/apls-ex10_33.htm" TargetMode="External"/><Relationship Id="rId47" Type="http://schemas.openxmlformats.org/officeDocument/2006/relationships/hyperlink" Target="https://www.sec.gov/Archives/edgar/data/1492422/000095017024020614/apls-ex21_1.htm" TargetMode="External"/><Relationship Id="rId48" Type="http://schemas.openxmlformats.org/officeDocument/2006/relationships/hyperlink" Target="https://www.sec.gov/Archives/edgar/data/1492422/000095017024020614/apls-ex97_1.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124998</Words>
  <Characters>692904</Characters>
  <CharactersWithSpaces>817790</CharactersWithSpaces>
  <Paragraphs>8896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